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Default="00B86E9E" w:rsidP="00B86E9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GODIŠNJI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PLAN POSLOVANJA I</w:t>
      </w:r>
    </w:p>
    <w:p w:rsidR="00B86E9E" w:rsidRDefault="00B86E9E" w:rsidP="00B86E9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FINANCIJSKI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PLAN ZA 2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02</w:t>
      </w:r>
      <w:r w:rsidR="005B120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GODINU</w:t>
      </w: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SA PLANOM INVESTICIJA</w:t>
      </w: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Default="00B86E9E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Default="005B120C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Default="005B120C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Default="005B120C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Default="005B120C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Default="005B120C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Pr="00103CBD" w:rsidRDefault="005B120C" w:rsidP="00B86E9E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20C" w:rsidRDefault="00B86E9E" w:rsidP="005B120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 prosinca 202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</w:p>
    <w:p w:rsidR="005B120C" w:rsidRPr="005B120C" w:rsidRDefault="005B120C" w:rsidP="005B120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103CBD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SADRŽAJ: 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D0D0D" w:themeColor="text1" w:themeTint="F2"/>
          <w:sz w:val="22"/>
          <w:szCs w:val="22"/>
        </w:rPr>
        <w:id w:val="1112145907"/>
        <w:docPartObj>
          <w:docPartGallery w:val="Table of Contents"/>
          <w:docPartUnique/>
        </w:docPartObj>
      </w:sdtPr>
      <w:sdtContent>
        <w:p w:rsidR="00B86E9E" w:rsidRPr="00103CBD" w:rsidRDefault="00B86E9E" w:rsidP="00B86E9E">
          <w:pPr>
            <w:pStyle w:val="TOCNaslov"/>
            <w:rPr>
              <w:rFonts w:ascii="Times New Roman" w:hAnsi="Times New Roman" w:cs="Times New Roman"/>
              <w:color w:val="0D0D0D" w:themeColor="text1" w:themeTint="F2"/>
            </w:rPr>
          </w:pPr>
        </w:p>
        <w:p w:rsidR="00B86E9E" w:rsidRDefault="00B86E9E" w:rsidP="00B86E9E">
          <w:pPr>
            <w:pStyle w:val="Sadraj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hr-HR"/>
            </w:rPr>
          </w:pPr>
          <w:r w:rsidRPr="00103CBD">
            <w:rPr>
              <w:rFonts w:ascii="Times New Roman" w:hAnsi="Times New Roman" w:cs="Times New Roman"/>
              <w:color w:val="0D0D0D" w:themeColor="text1" w:themeTint="F2"/>
            </w:rPr>
            <w:fldChar w:fldCharType="begin"/>
          </w:r>
          <w:r w:rsidRPr="00103CBD">
            <w:rPr>
              <w:rFonts w:ascii="Times New Roman" w:hAnsi="Times New Roman" w:cs="Times New Roman"/>
              <w:color w:val="0D0D0D" w:themeColor="text1" w:themeTint="F2"/>
            </w:rPr>
            <w:instrText xml:space="preserve"> TOC \o "1-3" \h \z \u </w:instrText>
          </w:r>
          <w:r w:rsidRPr="00103CBD">
            <w:rPr>
              <w:rFonts w:ascii="Times New Roman" w:hAnsi="Times New Roman" w:cs="Times New Roman"/>
              <w:color w:val="0D0D0D" w:themeColor="text1" w:themeTint="F2"/>
            </w:rPr>
            <w:fldChar w:fldCharType="separate"/>
          </w:r>
          <w:hyperlink w:anchor="_Toc57289665" w:history="1">
            <w:r w:rsidRPr="00C02A6C">
              <w:rPr>
                <w:rStyle w:val="Hiperveza"/>
                <w:rFonts w:ascii="Times New Roman" w:hAnsi="Times New Roman" w:cs="Times New Roman"/>
                <w:noProof/>
              </w:rPr>
              <w:t>1. 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_Toc57289665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E9E" w:rsidRDefault="00D26B42" w:rsidP="00B86E9E">
          <w:pPr>
            <w:pStyle w:val="Sadraj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hr-HR"/>
            </w:rPr>
          </w:pPr>
          <w:hyperlink w:anchor="_Toc57289666" w:history="1">
            <w:r w:rsidR="00B86E9E" w:rsidRPr="00C02A6C">
              <w:rPr>
                <w:rStyle w:val="Hiperveza"/>
                <w:rFonts w:ascii="Times New Roman" w:hAnsi="Times New Roman" w:cs="Times New Roman"/>
                <w:noProof/>
              </w:rPr>
              <w:t>2. OPĆE INFORMACIJE O DRUŠTVU</w:t>
            </w:r>
            <w:r w:rsidR="00B86E9E">
              <w:rPr>
                <w:noProof/>
                <w:webHidden/>
              </w:rPr>
              <w:tab/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_Toc57289666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4</w:t>
            </w:r>
            <w:r w:rsidR="00B86E9E">
              <w:rPr>
                <w:noProof/>
                <w:webHidden/>
              </w:rPr>
              <w:fldChar w:fldCharType="end"/>
            </w:r>
          </w:hyperlink>
        </w:p>
        <w:p w:rsidR="00B86E9E" w:rsidRDefault="00D26B42" w:rsidP="00B86E9E">
          <w:pPr>
            <w:pStyle w:val="Sadraj1"/>
            <w:tabs>
              <w:tab w:val="right" w:leader="dot" w:pos="9062"/>
            </w:tabs>
            <w:spacing w:after="0"/>
            <w:rPr>
              <w:noProof/>
            </w:rPr>
          </w:pPr>
          <w:hyperlink w:anchor="_Toc57289667" w:history="1">
            <w:r w:rsidR="00B87FAD">
              <w:rPr>
                <w:rStyle w:val="Hiperveza"/>
                <w:rFonts w:ascii="Times New Roman" w:hAnsi="Times New Roman" w:cs="Times New Roman"/>
                <w:noProof/>
              </w:rPr>
              <w:t>3. OSVRT NA 2021.</w:t>
            </w:r>
            <w:r w:rsidR="00B86E9E" w:rsidRPr="00C02A6C">
              <w:rPr>
                <w:rStyle w:val="Hiperveza"/>
                <w:rFonts w:ascii="Times New Roman" w:hAnsi="Times New Roman" w:cs="Times New Roman"/>
                <w:noProof/>
              </w:rPr>
              <w:t xml:space="preserve"> GODINU</w:t>
            </w:r>
            <w:r w:rsidR="00B86E9E">
              <w:rPr>
                <w:noProof/>
                <w:webHidden/>
              </w:rPr>
              <w:tab/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_Toc57289667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7</w:t>
            </w:r>
            <w:r w:rsidR="00B86E9E">
              <w:rPr>
                <w:noProof/>
                <w:webHidden/>
              </w:rPr>
              <w:fldChar w:fldCharType="end"/>
            </w:r>
          </w:hyperlink>
        </w:p>
        <w:p w:rsidR="00B86E9E" w:rsidRDefault="00B86E9E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</w:t>
          </w:r>
          <w:r w:rsidRPr="00AF3933">
            <w:rPr>
              <w:rFonts w:ascii="Times New Roman" w:hAnsi="Times New Roman" w:cs="Times New Roman"/>
            </w:rPr>
            <w:t>3.1. Održavanje</w:t>
          </w:r>
          <w:r>
            <w:rPr>
              <w:rFonts w:ascii="Times New Roman" w:hAnsi="Times New Roman" w:cs="Times New Roman"/>
            </w:rPr>
            <w:t xml:space="preserve"> nerazvrstanih cesta i javnih površina na kojima nije dozvoljen promet motornim      </w:t>
          </w:r>
        </w:p>
        <w:p w:rsidR="00B86E9E" w:rsidRDefault="00B86E9E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vozilima …………………………………………………………………………………………7</w:t>
          </w:r>
        </w:p>
        <w:p w:rsidR="00B86E9E" w:rsidRDefault="00B86E9E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3.2. Održavanje javnih zelenih  površina. ……………………………………………………………8</w:t>
          </w:r>
        </w:p>
        <w:p w:rsidR="00B86E9E" w:rsidRDefault="00B86E9E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3.3. Održavanje groblja i mrtvačnica ……………………………………….………………………..8</w:t>
          </w:r>
        </w:p>
        <w:p w:rsidR="00B86E9E" w:rsidRDefault="00B86E9E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3.4. Održavanje javne rasvjete ………………………………………………….……………………8</w:t>
          </w:r>
        </w:p>
        <w:p w:rsidR="00B86E9E" w:rsidRDefault="00B86E9E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3.5. Održavanje čistoće javnih površina ……………………………………….…………………….</w:t>
          </w:r>
          <w:r w:rsidR="00AB0EF3">
            <w:rPr>
              <w:rFonts w:ascii="Times New Roman" w:hAnsi="Times New Roman" w:cs="Times New Roman"/>
            </w:rPr>
            <w:t>8</w:t>
          </w:r>
        </w:p>
        <w:p w:rsidR="00B86E9E" w:rsidRDefault="00AB0EF3" w:rsidP="00B86E9E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3.6. Održavanje građ</w:t>
          </w:r>
          <w:r w:rsidR="00B86E9E">
            <w:rPr>
              <w:rFonts w:ascii="Times New Roman" w:hAnsi="Times New Roman" w:cs="Times New Roman"/>
            </w:rPr>
            <w:t xml:space="preserve">evina, uređaja i </w:t>
          </w:r>
          <w:r>
            <w:rPr>
              <w:rFonts w:ascii="Times New Roman" w:hAnsi="Times New Roman" w:cs="Times New Roman"/>
            </w:rPr>
            <w:t>predmeta javne namjene ……………………</w:t>
          </w:r>
          <w:r w:rsidR="00B86E9E">
            <w:rPr>
              <w:rFonts w:ascii="Times New Roman" w:hAnsi="Times New Roman" w:cs="Times New Roman"/>
            </w:rPr>
            <w:t>………………...9</w:t>
          </w:r>
        </w:p>
        <w:p w:rsidR="00FE5DD1" w:rsidRDefault="00D26B42" w:rsidP="00FE5DD1">
          <w:pPr>
            <w:pStyle w:val="Sadraj1"/>
            <w:tabs>
              <w:tab w:val="right" w:leader="dot" w:pos="9062"/>
            </w:tabs>
            <w:spacing w:after="0"/>
            <w:rPr>
              <w:noProof/>
            </w:rPr>
          </w:pPr>
          <w:hyperlink w:anchor="_Toc57289668" w:history="1">
            <w:r w:rsidR="00B86E9E" w:rsidRPr="00C02A6C">
              <w:rPr>
                <w:rStyle w:val="Hiperveza"/>
                <w:rFonts w:ascii="Times New Roman" w:hAnsi="Times New Roman" w:cs="Times New Roman"/>
                <w:noProof/>
              </w:rPr>
              <w:t xml:space="preserve">4. GODIŠNJI </w:t>
            </w:r>
            <w:r w:rsidR="00252F39">
              <w:rPr>
                <w:rStyle w:val="Hiperveza"/>
                <w:rFonts w:ascii="Times New Roman" w:hAnsi="Times New Roman" w:cs="Times New Roman"/>
                <w:noProof/>
              </w:rPr>
              <w:t xml:space="preserve">PLAN POSLOVANJA U </w:t>
            </w:r>
            <w:r w:rsidR="00B86E9E" w:rsidRPr="00C02A6C">
              <w:rPr>
                <w:rStyle w:val="Hiperveza"/>
                <w:rFonts w:ascii="Times New Roman" w:hAnsi="Times New Roman" w:cs="Times New Roman"/>
                <w:noProof/>
              </w:rPr>
              <w:t>202</w:t>
            </w:r>
            <w:r w:rsidR="005B120C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252F39">
              <w:rPr>
                <w:rStyle w:val="Hiperveza"/>
                <w:rFonts w:ascii="Times New Roman" w:hAnsi="Times New Roman" w:cs="Times New Roman"/>
                <w:noProof/>
              </w:rPr>
              <w:t>GODINI</w:t>
            </w:r>
            <w:r w:rsidR="00B86E9E">
              <w:rPr>
                <w:noProof/>
                <w:webHidden/>
              </w:rPr>
              <w:tab/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_Toc57289668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10</w:t>
            </w:r>
            <w:r w:rsidR="00B86E9E">
              <w:rPr>
                <w:noProof/>
                <w:webHidden/>
              </w:rPr>
              <w:fldChar w:fldCharType="end"/>
            </w:r>
          </w:hyperlink>
        </w:p>
        <w:p w:rsidR="00FE5DD1" w:rsidRDefault="00FE5DD1" w:rsidP="00FE5DD1">
          <w:pPr>
            <w:pStyle w:val="Sadraj1"/>
            <w:tabs>
              <w:tab w:val="right" w:leader="dot" w:pos="9062"/>
            </w:tabs>
            <w:spacing w:after="0"/>
            <w:rPr>
              <w:noProof/>
            </w:rPr>
          </w:pPr>
          <w:r>
            <w:t xml:space="preserve">    </w:t>
          </w:r>
          <w:hyperlink w:anchor="_Toc57289669" w:history="1">
            <w:r w:rsidR="00B86E9E">
              <w:rPr>
                <w:rStyle w:val="Hiperveza"/>
                <w:rFonts w:ascii="Times New Roman" w:hAnsi="Times New Roman" w:cs="Times New Roman"/>
                <w:noProof/>
              </w:rPr>
              <w:t>4.1 Gospodarenje otpadom …………………………………………………………………………</w:t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_Toc57289669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10</w:t>
            </w:r>
            <w:r w:rsidR="00B86E9E">
              <w:rPr>
                <w:noProof/>
                <w:webHidden/>
              </w:rPr>
              <w:fldChar w:fldCharType="end"/>
            </w:r>
          </w:hyperlink>
        </w:p>
        <w:p w:rsidR="00FE5DD1" w:rsidRDefault="00FE5DD1" w:rsidP="00FE5DD1">
          <w:pPr>
            <w:pStyle w:val="Sadraj1"/>
            <w:tabs>
              <w:tab w:val="right" w:leader="dot" w:pos="9062"/>
            </w:tabs>
            <w:spacing w:after="0"/>
            <w:rPr>
              <w:noProof/>
            </w:rPr>
          </w:pPr>
          <w:r>
            <w:t xml:space="preserve">    </w:t>
          </w:r>
          <w:hyperlink w:anchor="_Toc57289670" w:history="1">
            <w:r>
              <w:rPr>
                <w:rStyle w:val="Hiperveza"/>
                <w:rFonts w:ascii="Times New Roman" w:hAnsi="Times New Roman" w:cs="Times New Roman"/>
                <w:noProof/>
              </w:rPr>
              <w:t>4.2. Održavanje nerazvrstanih cesta</w:t>
            </w:r>
            <w:r w:rsidR="00B86E9E">
              <w:rPr>
                <w:noProof/>
                <w:webHidden/>
              </w:rPr>
              <w:tab/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_Toc57289670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1</w:t>
            </w:r>
            <w:r w:rsidR="00B86E9E">
              <w:rPr>
                <w:noProof/>
                <w:webHidden/>
              </w:rPr>
              <w:fldChar w:fldCharType="end"/>
            </w:r>
          </w:hyperlink>
          <w:r>
            <w:rPr>
              <w:noProof/>
            </w:rPr>
            <w:t>1</w:t>
          </w:r>
        </w:p>
        <w:p w:rsidR="00FE5DD1" w:rsidRDefault="00FE5DD1" w:rsidP="00FE5DD1">
          <w:pPr>
            <w:pStyle w:val="Sadraj1"/>
            <w:tabs>
              <w:tab w:val="right" w:leader="dot" w:pos="9062"/>
            </w:tabs>
            <w:spacing w:after="0"/>
            <w:rPr>
              <w:noProof/>
            </w:rPr>
          </w:pPr>
          <w:r>
            <w:rPr>
              <w:noProof/>
            </w:rPr>
            <w:t xml:space="preserve">    </w:t>
          </w:r>
          <w:hyperlink w:anchor="_Toc57289671" w:history="1">
            <w:r>
              <w:rPr>
                <w:rStyle w:val="Hiperveza"/>
                <w:rFonts w:ascii="Times New Roman" w:hAnsi="Times New Roman" w:cs="Times New Roman"/>
                <w:noProof/>
              </w:rPr>
              <w:t>4.3. Održavanje javnih površina na kojima nije dozvoljem promet motornim vozilima</w:t>
            </w:r>
            <w:r w:rsidR="00B86E9E">
              <w:rPr>
                <w:noProof/>
                <w:webHidden/>
              </w:rPr>
              <w:tab/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_Toc57289671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12</w:t>
            </w:r>
            <w:r w:rsidR="00B86E9E">
              <w:rPr>
                <w:noProof/>
                <w:webHidden/>
              </w:rPr>
              <w:fldChar w:fldCharType="end"/>
            </w:r>
          </w:hyperlink>
        </w:p>
        <w:p w:rsidR="00FE5DD1" w:rsidRPr="00FE5DD1" w:rsidRDefault="00FE5DD1" w:rsidP="00FE5DD1">
          <w:pPr>
            <w:pStyle w:val="Sadraj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hr-HR"/>
            </w:rPr>
          </w:pPr>
          <w:r>
            <w:rPr>
              <w:noProof/>
            </w:rPr>
            <w:t xml:space="preserve">    </w:t>
          </w:r>
          <w:hyperlink w:anchor="_Toc57289672" w:history="1">
            <w:r>
              <w:rPr>
                <w:rStyle w:val="Hiperveza"/>
                <w:rFonts w:ascii="Times New Roman" w:hAnsi="Times New Roman" w:cs="Times New Roman"/>
                <w:noProof/>
              </w:rPr>
              <w:t>4.4. Održavanje javnih zelenih površina</w:t>
            </w:r>
            <w:r w:rsidR="00B86E9E">
              <w:rPr>
                <w:noProof/>
                <w:webHidden/>
              </w:rPr>
              <w:tab/>
            </w:r>
            <w:r w:rsidR="00B86E9E">
              <w:rPr>
                <w:noProof/>
                <w:webHidden/>
              </w:rPr>
              <w:fldChar w:fldCharType="begin"/>
            </w:r>
            <w:r w:rsidR="00B86E9E">
              <w:rPr>
                <w:noProof/>
                <w:webHidden/>
              </w:rPr>
              <w:instrText xml:space="preserve"> PAGEREF _Toc57289672 \h </w:instrText>
            </w:r>
            <w:r w:rsidR="00B86E9E">
              <w:rPr>
                <w:noProof/>
                <w:webHidden/>
              </w:rPr>
            </w:r>
            <w:r w:rsidR="00B86E9E">
              <w:rPr>
                <w:noProof/>
                <w:webHidden/>
              </w:rPr>
              <w:fldChar w:fldCharType="separate"/>
            </w:r>
            <w:r w:rsidR="00B86E9E">
              <w:rPr>
                <w:noProof/>
                <w:webHidden/>
              </w:rPr>
              <w:t>12</w:t>
            </w:r>
            <w:r w:rsidR="00B86E9E">
              <w:rPr>
                <w:noProof/>
                <w:webHidden/>
              </w:rPr>
              <w:fldChar w:fldCharType="end"/>
            </w:r>
          </w:hyperlink>
        </w:p>
        <w:p w:rsidR="00FE5DD1" w:rsidRDefault="00FE5DD1" w:rsidP="00AA64D2">
          <w:pPr>
            <w:spacing w:after="0"/>
            <w:rPr>
              <w:rFonts w:ascii="Times New Roman" w:hAnsi="Times New Roman" w:cs="Times New Roman"/>
            </w:rPr>
          </w:pPr>
          <w:r w:rsidRPr="00FE5DD1">
            <w:rPr>
              <w:rFonts w:ascii="Times New Roman" w:hAnsi="Times New Roman" w:cs="Times New Roman"/>
            </w:rPr>
            <w:t xml:space="preserve">    4.5.</w:t>
          </w:r>
          <w:r>
            <w:rPr>
              <w:rFonts w:ascii="Times New Roman" w:hAnsi="Times New Roman" w:cs="Times New Roman"/>
            </w:rPr>
            <w:t xml:space="preserve"> </w:t>
          </w:r>
          <w:r w:rsidRPr="00FE5DD1">
            <w:rPr>
              <w:rFonts w:ascii="Times New Roman" w:hAnsi="Times New Roman" w:cs="Times New Roman"/>
            </w:rPr>
            <w:t>Održavanje i uređenje groblja i mrtvačnica unutar groblja</w:t>
          </w:r>
          <w:r>
            <w:rPr>
              <w:rFonts w:ascii="Times New Roman" w:hAnsi="Times New Roman" w:cs="Times New Roman"/>
            </w:rPr>
            <w:t>………………………………….....12</w:t>
          </w:r>
        </w:p>
        <w:p w:rsidR="00FE5DD1" w:rsidRDefault="00FE5DD1" w:rsidP="00AA64D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</w:t>
          </w:r>
          <w:r w:rsidR="00AA64D2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 4.6.  Javna rasvjeta …………………………………………</w:t>
          </w:r>
          <w:r w:rsidR="00AA64D2">
            <w:rPr>
              <w:rFonts w:ascii="Times New Roman" w:hAnsi="Times New Roman" w:cs="Times New Roman"/>
            </w:rPr>
            <w:t>...</w:t>
          </w:r>
          <w:r>
            <w:rPr>
              <w:rFonts w:ascii="Times New Roman" w:hAnsi="Times New Roman" w:cs="Times New Roman"/>
            </w:rPr>
            <w:t>……………………………………..13</w:t>
          </w:r>
        </w:p>
        <w:p w:rsidR="00FE5DD1" w:rsidRDefault="00AA64D2" w:rsidP="00AA64D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</w:t>
          </w:r>
          <w:r w:rsidR="00FE5DD1">
            <w:rPr>
              <w:rFonts w:ascii="Times New Roman" w:hAnsi="Times New Roman" w:cs="Times New Roman"/>
            </w:rPr>
            <w:t xml:space="preserve">4.7.   </w:t>
          </w:r>
          <w:r>
            <w:rPr>
              <w:rFonts w:ascii="Times New Roman" w:hAnsi="Times New Roman" w:cs="Times New Roman"/>
            </w:rPr>
            <w:t>Održavanje čistoće javnih površina …………………………...………….…………………  13</w:t>
          </w:r>
        </w:p>
        <w:p w:rsidR="00AA64D2" w:rsidRDefault="00AA64D2" w:rsidP="00AA64D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4.8.   Održavanje građevina, uređaja i predmeta javne namjene ………………………...…...…….13</w:t>
          </w:r>
        </w:p>
        <w:p w:rsidR="00AA64D2" w:rsidRDefault="00AA64D2" w:rsidP="00AA64D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4.9.   Ostale gospodarsko - tržišne djelatnosti ……………………………………………...………14</w:t>
          </w:r>
        </w:p>
        <w:p w:rsidR="00AA64D2" w:rsidRDefault="00AA64D2" w:rsidP="00AA64D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5. GODIŠNJI PLAN INVESTICIJA ………………………………………………………………….14</w:t>
          </w:r>
        </w:p>
        <w:p w:rsidR="00AA64D2" w:rsidRDefault="00AA64D2" w:rsidP="00AA64D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6. FINANCIJSKI PLAN ZA 2022. GODINU ………………………………………………………   14</w:t>
          </w:r>
        </w:p>
        <w:p w:rsidR="00FE5DD1" w:rsidRPr="00FE5DD1" w:rsidRDefault="00FE5DD1" w:rsidP="00FE5DD1">
          <w:pPr>
            <w:rPr>
              <w:rFonts w:ascii="Times New Roman" w:hAnsi="Times New Roman" w:cs="Times New Roman"/>
            </w:rPr>
          </w:pPr>
        </w:p>
        <w:p w:rsidR="00FE5DD1" w:rsidRDefault="00FE5DD1" w:rsidP="00B86E9E">
          <w:pPr>
            <w:pStyle w:val="Sadraj1"/>
            <w:tabs>
              <w:tab w:val="right" w:leader="dot" w:pos="9062"/>
            </w:tabs>
            <w:spacing w:after="0"/>
          </w:pPr>
        </w:p>
        <w:p w:rsidR="00B86E9E" w:rsidRPr="00103CBD" w:rsidRDefault="00D26B42" w:rsidP="00B86E9E">
          <w:pPr>
            <w:pStyle w:val="Sadraj1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color w:val="0D0D0D" w:themeColor="text1" w:themeTint="F2"/>
            </w:rPr>
          </w:pPr>
          <w:hyperlink w:anchor="_Toc57289674" w:history="1"/>
          <w:r w:rsidR="00B86E9E" w:rsidRPr="00103CBD">
            <w:rPr>
              <w:rFonts w:ascii="Times New Roman" w:hAnsi="Times New Roman" w:cs="Times New Roman"/>
              <w:color w:val="0D0D0D" w:themeColor="text1" w:themeTint="F2"/>
            </w:rPr>
            <w:fldChar w:fldCharType="end"/>
          </w:r>
        </w:p>
      </w:sdtContent>
    </w:sdt>
    <w:p w:rsidR="00B86E9E" w:rsidRDefault="00B86E9E" w:rsidP="00B86E9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5F26CD" w:rsidRDefault="00B86E9E" w:rsidP="00B86E9E">
      <w:pPr>
        <w:rPr>
          <w:rFonts w:ascii="Times New Roman" w:hAnsi="Times New Roman" w:cs="Times New Roman"/>
          <w:sz w:val="24"/>
          <w:szCs w:val="24"/>
        </w:rPr>
      </w:pPr>
    </w:p>
    <w:p w:rsidR="00B86E9E" w:rsidRPr="005F26CD" w:rsidRDefault="00B86E9E" w:rsidP="00B86E9E">
      <w:pPr>
        <w:rPr>
          <w:rFonts w:ascii="Times New Roman" w:hAnsi="Times New Roman" w:cs="Times New Roman"/>
          <w:sz w:val="24"/>
          <w:szCs w:val="24"/>
        </w:rPr>
      </w:pPr>
    </w:p>
    <w:p w:rsidR="00B86E9E" w:rsidRPr="005F26CD" w:rsidRDefault="00B86E9E" w:rsidP="00B86E9E">
      <w:pPr>
        <w:rPr>
          <w:rFonts w:ascii="Times New Roman" w:hAnsi="Times New Roman" w:cs="Times New Roman"/>
          <w:sz w:val="24"/>
          <w:szCs w:val="24"/>
        </w:rPr>
      </w:pPr>
    </w:p>
    <w:p w:rsidR="00B86E9E" w:rsidRPr="005F26CD" w:rsidRDefault="00B86E9E" w:rsidP="00B86E9E">
      <w:pPr>
        <w:rPr>
          <w:rFonts w:ascii="Times New Roman" w:hAnsi="Times New Roman" w:cs="Times New Roman"/>
          <w:sz w:val="24"/>
          <w:szCs w:val="24"/>
        </w:rPr>
      </w:pPr>
    </w:p>
    <w:p w:rsidR="00B86E9E" w:rsidRDefault="00B86E9E" w:rsidP="00B86E9E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6E9E" w:rsidRDefault="00B86E9E" w:rsidP="00B86E9E">
      <w:pPr>
        <w:rPr>
          <w:rFonts w:ascii="Times New Roman" w:hAnsi="Times New Roman" w:cs="Times New Roman"/>
          <w:sz w:val="24"/>
          <w:szCs w:val="24"/>
        </w:rPr>
      </w:pPr>
    </w:p>
    <w:p w:rsidR="00B86E9E" w:rsidRPr="005F26CD" w:rsidRDefault="00B86E9E" w:rsidP="00B86E9E">
      <w:pPr>
        <w:rPr>
          <w:rFonts w:ascii="Times New Roman" w:hAnsi="Times New Roman" w:cs="Times New Roman"/>
          <w:sz w:val="24"/>
          <w:szCs w:val="24"/>
        </w:rPr>
        <w:sectPr w:rsidR="00B86E9E" w:rsidRPr="005F26C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E9E" w:rsidRPr="00103CBD" w:rsidRDefault="00B86E9E" w:rsidP="00B86E9E">
      <w:pPr>
        <w:pStyle w:val="Naslov1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Toc57289665"/>
      <w:r w:rsidRPr="00103CBD">
        <w:rPr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  <w:lastRenderedPageBreak/>
        <w:t>1.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UVOD</w:t>
      </w:r>
      <w:bookmarkEnd w:id="0"/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članku 24. Izjave o osnivanju trgovačkog društva Rakovica d.o.o., u sklopu svoje zadaće Uprava je posebno dužna u  skladu sa zakonskom regulativom i Izjavom utvrđivati poslovnu politiku Društva i donositi godišnje i razvojne  planove.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toga izrađen je ovaj Godišnji plan  poslovanja sa  Financijskim planom za 202</w:t>
      </w:r>
      <w:r w:rsidR="005B12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unutar kojeg je  dan  i prikaz procjene realizacije Financijskog plana za 202</w:t>
      </w:r>
      <w:r w:rsidR="005B12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radi bolje percepcije.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Financijski plan za 202</w:t>
      </w:r>
      <w:r w:rsidR="005B12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temelji se na planiranim vlastitim prihodima od obavljanja komunalnih djelatnosti, djelatnosti od općeg interesa, tržišno-gospodarskih djelatnosti te  odobrenim sredstvima kapitalnih pomoći iz Proračuna Općine Rakovica.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Godišnji plan </w:t>
      </w:r>
      <w:r w:rsidR="00847AA6">
        <w:rPr>
          <w:rFonts w:ascii="Times New Roman" w:hAnsi="Times New Roman" w:cs="Times New Roman"/>
          <w:sz w:val="24"/>
          <w:szCs w:val="24"/>
        </w:rPr>
        <w:t>poslovanja</w:t>
      </w:r>
      <w:r>
        <w:rPr>
          <w:rFonts w:ascii="Times New Roman" w:hAnsi="Times New Roman" w:cs="Times New Roman"/>
          <w:sz w:val="24"/>
          <w:szCs w:val="24"/>
        </w:rPr>
        <w:t xml:space="preserve"> kao i Financijski plan  smjernice su kojim će se u svom radu  Društvo rukovoditi, a realizacijom planiranih aktivnosti nastoji se postići uspješno poslovanje i postizanje temeljnih ciljeva postojanja Društva od kojih su najznačajniji  obavljanje komunalnih djelatnosti, očuvanje okoliša i održivog razvoja te zadovoljstvo naših korisnika. 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tabs>
          <w:tab w:val="left" w:pos="2026"/>
        </w:tabs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B86E9E" w:rsidRPr="00103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E9E" w:rsidRDefault="00B86E9E" w:rsidP="00B86E9E">
      <w:pPr>
        <w:pStyle w:val="Naslov1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_Toc57289666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2. OPĆE INFORMACIJE O DRUŠTVU</w:t>
      </w:r>
      <w:bookmarkEnd w:id="1"/>
    </w:p>
    <w:p w:rsidR="00B86E9E" w:rsidRPr="000018BD" w:rsidRDefault="00B86E9E" w:rsidP="00B86E9E"/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Trgovačko društvo Rakovica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 d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ruštvo s ograničenom odgovornošću za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obavljanje komunalnih djelatnosti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 sjedištem na adresi Rakovica 32, Rakovica,  Karlovačka županija.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Društvo je upisano u Trgovački sud u Karlovcu 20. svibnja 2014.godine s matičnim brojem subjekta upisa (MBS): 080913916, OIB: 46676649670 (Rješenje broj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Tt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-14/8182-2).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Društvo je osnovano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temeljem Plana podjele društva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Spelekom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d.o.o.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to jest Odlukom Skupštine društva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Rakovica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d.o.o. od 26. ožujka 2014.godine. Tada je izvršena podje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 te je više dijelova imovine društva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Spelekom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d.o.o.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preneseno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novo društvo - Rakovica d.o.o. za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obavljanje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komuna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lnih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djelatnosti, a koje je osnovano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radi provođenja podjele s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osnivanjem. </w:t>
      </w:r>
    </w:p>
    <w:p w:rsidR="00B86E9E" w:rsidRPr="00103CBD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Temeljni kapital Društva iznosi 6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.000,00 kuna, a sastoji se od jednog poslovnog udjela 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100%-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tnom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vlasništvu Općine Rakovica.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Organi Društva koji upravljaju istim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koordiniraju rad i nadziru poslovanje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sukladno Izjavi o osnivanju od 12. prosinca 2018. godine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jesu Skupština koja se sastoji od jednog člana – načelnika Općine Rakovica, zatim Nadzorni odbor koji se sastoji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predsjednika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njegova zamjenika i jednog člana te Uprava Društva koja se sastoji od jednog člana - direktora.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Temeljem članka 5. Zakona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računovodstvu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(„Narodne novine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“, broj 78/15, 134/15, 120/16,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116/18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42/20 i 47/20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društvo Rakovica d.o.o. za obavljanje komunalnih djelatnosti ubraja se u mikro poduzetnike.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Regist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ir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ane djelatnosti koje se obavljaju, a koje ujedno predstavljaju predmet poslovanja društva Rakovica d.o.o. navedene su u nastavku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 obzirom na opseg svih registriranih djelatnosti navedenih u Tablici 1., kao najznačajnije se izdvajaju one od kojih Društvo ostvaruje prihode poslovanja poput djelatnosti 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kupljanja otpada, gospodarenja otpadom, upravljanja grobljem, održavanja javnih površina, održavanje nerazvrstanih cesta, javne rasvjete i sl.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86E9E" w:rsidRPr="00103CBD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Stanje zaposlenih na dan 31. prosinca 202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godine  je 1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 djelatnika i direktor na pola radnog vremena.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Osim direktora Društva, ostali zaposleni su  knjigovođa,  voditelj od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sjek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održavanja, dva vozača,  radnik na odvozu otpada, 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domar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/električar/ložač,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5B12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radnika na održavanju čistoće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ukopima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a planira se zapošljavanje bar još jednog radnika u 202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47A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odini.</w:t>
      </w:r>
    </w:p>
    <w:p w:rsidR="00B86E9E" w:rsidRDefault="00B86E9E" w:rsidP="00B86E9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_Toc28281234"/>
    </w:p>
    <w:p w:rsidR="00B86E9E" w:rsidRPr="00F4283A" w:rsidRDefault="00B86E9E" w:rsidP="00B86E9E"/>
    <w:p w:rsidR="00B86E9E" w:rsidRPr="00103CBD" w:rsidRDefault="00B86E9E" w:rsidP="00B86E9E">
      <w:pPr>
        <w:pStyle w:val="Opisslike"/>
        <w:keepNext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TABLICA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SEQ Tablica \* ARABIC </w:instrTex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1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PREDMET POSLOVANJA DRUŠTVA</w:t>
      </w:r>
      <w:bookmarkEnd w:id="2"/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256"/>
      </w:tblGrid>
      <w:tr w:rsidR="00B86E9E" w:rsidRPr="00103CBD" w:rsidTr="00450EA6">
        <w:trPr>
          <w:trHeight w:val="450"/>
        </w:trPr>
        <w:tc>
          <w:tcPr>
            <w:tcW w:w="8789" w:type="dxa"/>
            <w:gridSpan w:val="2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Cs w:val="20"/>
              </w:rPr>
              <w:t>POPIS DJELATNOSTI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2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Djelatnost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druge 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obrade otpada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Djelatnost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oporabe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otpada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Djelatnosti posredovanja u gospodarenju otpadom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Djelatnost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prijevoza otpada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Djelatnost trgovanja otpadom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Djelatnost zbrinjavanja otpada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Gospodarenje otpadom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Djelatnost ispitivanja i analize otpada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Održavanje javnih površina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Održavanje groblja  i krematorija i prijevoz pokojnika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Upravljanje grobljem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Iznajmljivanje strojeva i opreme, bez rukovoditelja i predmeta za osobnu uporabu i kućanstvo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Pripremanje i organiziranje sajmova, izložbi, seminara, kongresa, priredbi i sl.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Održavanje nerazvrstanih cesta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Javna rasvjeta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Naplata parkiranja, nadzor i čuvanje vozila na parkiralištu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Sportska priprema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Sportska rekreacija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Sportska poduka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Organiziranje sportskih natjecanja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Vođenje sportskih natjecanja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Upravljanje i održavanje sportskom građevinom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Tržnice na malo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Obavljanje dimnjačarskih poslova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Računalne i srodne djelatnosti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Poslovanje nekretninama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Poslovi upravljanja nekretninom i održavanje nekretnine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Posredovanje u prometu nekretnina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Pružanje usluge smještaja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Pripremanje hrane  i pružanje usluga prehrane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Pripremanje i usluživanje pića i napitaka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Pripremanje hrane za potrošnju na drugom mjestu sa ili bez usluživanja (u prijevoznom sredstvu, na priredbama i sl.) i opskrba tom hranom (</w:t>
            </w:r>
            <w:proofErr w:type="spellStart"/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catering</w:t>
            </w:r>
            <w:proofErr w:type="spellEnd"/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Kupnja i prodaja robe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Obavljanje trgovačkog posredovanja na domaćem i inozemnom tržištu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Zastupanje inozemnih tvrtki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Turističke usluge u ostalim oblicima turističke ponude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Ostale turističke usluge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Turističke usluge koje uključuju športsko-rekreativne ili pustolovne aktivnosti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Promidžba (reklama i propaganda)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Istraživanje tržišta i ispitivanje javnog mnijenja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Savjetovanje u vezi s poslovanjem i upravljanjem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Projektiranje i građenje građevina te stručni 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nadzor građenja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Prijevoz za vlastite potrebe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Poljoprivredna djelatnost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Integriranja proizvodnja poljoprivrednih proizvoda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Poljoprivredno-savjetodavna djelatnost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Djelatnost javnog cestovnog prijevoza putnika ili tereta u unutarnjem cestovnom prometu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Prijevoz putnika u unutarnjem cestovnom prometu</w:t>
            </w:r>
          </w:p>
        </w:tc>
      </w:tr>
      <w:tr w:rsidR="00B86E9E" w:rsidRPr="00103CBD" w:rsidTr="00450EA6">
        <w:tc>
          <w:tcPr>
            <w:tcW w:w="4536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Javni prijevoz putnika u međunarodnom cestovnom prometu</w:t>
            </w:r>
          </w:p>
        </w:tc>
        <w:tc>
          <w:tcPr>
            <w:tcW w:w="4253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Prijevoz tereta u unutarnjem i međunarodnom cestovnom prometu</w:t>
            </w:r>
          </w:p>
        </w:tc>
      </w:tr>
      <w:tr w:rsidR="00B86E9E" w:rsidTr="00450EA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533" w:type="dxa"/>
          </w:tcPr>
          <w:p w:rsidR="00B86E9E" w:rsidRPr="00CE36B5" w:rsidRDefault="00B86E9E" w:rsidP="00450EA6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E36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Održavanje i popravak motornih vozila</w:t>
            </w:r>
          </w:p>
        </w:tc>
        <w:tc>
          <w:tcPr>
            <w:tcW w:w="4256" w:type="dxa"/>
          </w:tcPr>
          <w:p w:rsidR="00B86E9E" w:rsidRDefault="00B86E9E" w:rsidP="00450EA6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1074F" w:rsidRDefault="00C1074F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1074F" w:rsidRPr="00103CBD" w:rsidRDefault="00C1074F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1074F" w:rsidRPr="00103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E9E" w:rsidRPr="00BF7D53" w:rsidRDefault="00B86E9E" w:rsidP="00B86E9E">
      <w:pPr>
        <w:pStyle w:val="Naslov1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_Toc57289667"/>
      <w:r w:rsidRPr="00FE21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3. OSVRT NA </w:t>
      </w:r>
      <w:r w:rsidR="00C10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2021.</w:t>
      </w:r>
      <w:r w:rsidRPr="00FE21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GODINU</w:t>
      </w:r>
      <w:bookmarkEnd w:id="3"/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Smjernice – vodilje za izradu  Planova jesu  rekapitulacija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procjene realiziranog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20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godini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točnije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provedene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aktivnos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ti koje </w:t>
      </w:r>
      <w:r w:rsidR="00C10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će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 </w:t>
      </w:r>
      <w:r w:rsidR="00C107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provoditi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u 202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godini, te  ostvareni financijski rezultat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B86E9E" w:rsidRPr="00103CBD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Realizirane aktivnosti temeljene su  na Programima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održavanja komunalne infrastrukture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obavljanju komunalnih djelatnosti </w:t>
      </w:r>
      <w:r w:rsidR="009E30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2021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odini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koje je usvojilo Općinsko vijeće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Općine Rakovica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Ov</w:t>
      </w:r>
      <w:r w:rsidR="00D31A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 Programom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definiran je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opis i opseg poslova održavanja i obavljanja komunalnih djelatnosti,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odnosi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na održavanje:</w:t>
      </w:r>
    </w:p>
    <w:p w:rsidR="00B86E9E" w:rsidRPr="00103CBD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erazvrstanih cesta,</w:t>
      </w:r>
    </w:p>
    <w:p w:rsidR="00B86E9E" w:rsidRPr="00103CBD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javnih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površine na kojima nije dopušten javni promet motornim vozilima,</w:t>
      </w:r>
    </w:p>
    <w:p w:rsidR="00B86E9E" w:rsidRPr="00103CBD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javnih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zelen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ih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površina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B86E9E" w:rsidRPr="00103CBD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roblja i mrtvačnica,</w:t>
      </w:r>
    </w:p>
    <w:p w:rsidR="00B86E9E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javne rasvjete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B86E9E" w:rsidRPr="00103CBD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državanje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čistoće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javnih površina,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</w:t>
      </w:r>
    </w:p>
    <w:p w:rsidR="00B86E9E" w:rsidRDefault="00B86E9E" w:rsidP="00B86E9E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državanje građevina, uređaja i predmeta javne namjene.</w:t>
      </w:r>
    </w:p>
    <w:p w:rsidR="00B86E9E" w:rsidRPr="00313B0B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313B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nastavku se daje detaljnije obrazloženje</w:t>
      </w:r>
      <w:r w:rsidR="00D31A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3B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navedenih zadaća.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3.1. Održavanje nerazvrstanih cesta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 javnih površina na kojima nije dopušten promet motornim vozilima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Aktivnosti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koje se odnose na održavanje nerazvrstanih cesta i održavanja javnih površina na kojima nije dopušten promet motornim vozilima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provodile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 se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kroz sječu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granja 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grmlja, korijenja i drugog drvenastog raslinja iz profila cesta i bankina,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košnjom trave na zemljištu koje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pripada cestovnom pojasu te uređenjem zelenog po</w:t>
      </w:r>
      <w:r w:rsidR="00252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jasa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cestovnog zemljišta u naseljima na području Općine.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zimskom periodu provodile su se aktivnosti čišćenja snijega s prometnica, nogostupa-pješačkih staza, javnih parkirališnih po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vršina i autobusnih stanica uz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posipanje prometnica kamenim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agregatom, sipinom ili soli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naseljima na području Općine Rakovica.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Tijekom proljetnih i ljetnih mjeseci su radi povoljnijih vremenskih uvjeta obavljani radovi održavanja asfaltnih i makadamskih prometnica nasipavanjem kamenog agregata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radi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saniranja oštećenja,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vršila se 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sje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ča raslinja u cestovnom pojasu te košnja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trave kroz naselja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području Općine.</w:t>
      </w:r>
    </w:p>
    <w:p w:rsidR="00B86E9E" w:rsidRPr="00103CBD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3.2.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Održavanje javnih zelenih površina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Kroz djelatnost održavanja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javnih zelenih površina provodile su se aktivnosti redovitog održavanja postojećih javnih površina poput parkova, okoliša kulturno-povijesnih objekata, oglasnih ploča, šetnica, igrališta i dr. kroz košnju, nasipavanje staza te sanaciju oštećenih dijelova istih. Navedeno se provodilo u naseljima Rakovica,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Drežnik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Grad, Čatrnja, Selište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Drežničko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 spomen obilježja, dječja igrališta, uz rijeku Koranu, oko potoka i izvora u Rakovici i Grabovcu,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bunara u Rakovici,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Oštarskim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Stanovima,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Drežnik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Gradu i Selištu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Drežničkom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3.3.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Održavanje groblja i mrtvačnica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Aktivnosti koje su se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obavljale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sklopu održavanja groblja i mrtvačnica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uglavnom su bile usmjerene na košnju </w:t>
      </w:r>
      <w:r w:rsidR="002B77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trave unutar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groblja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više navrata,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radove </w:t>
      </w:r>
      <w:r w:rsidR="002B77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vezanja i obrezivanja čempresa oko groblja i mrtvačnica,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uređenja staza i uklanjanja raslinja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ukladno nalozima Općine.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3.4.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Javna rasvjeta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Na području o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pćine Rakovica gotovo su sva naselja ops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krbljena javnom rasvjetom koj</w:t>
      </w:r>
      <w:r w:rsidR="00252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 u toku godine održavana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kroz zamjenu dotraja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lih lampi novom LED rasvjetom,</w:t>
      </w:r>
      <w:r w:rsidR="002B77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izmjenom vremena paljenja i gašenja, popravcima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 popunjavanjem novih ili s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kidanjem pojedinih rasvjetnih tijela.</w:t>
      </w:r>
    </w:p>
    <w:p w:rsidR="00B86E9E" w:rsidRPr="00103CBD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3.5.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Održavanje čistoća javnih površina</w:t>
      </w:r>
    </w:p>
    <w:p w:rsidR="00B86E9E" w:rsidRPr="007D5D95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Održavanje čistoće javnih površina obavljalo se k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 radove čišćenja i zbrinjavanja snijega i leda, otpada s dječjih i sportskih igrališta, autobusnih stajališta spomen obilježja, javnih parkirališta, šetnica, pješačkih staza, lokaliteta nakon održavanja javnih manifestacija i dru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gih javnih površina u naseljima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kroz skupljanje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odvoz otpada, te ručno uklanjanje i 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pranje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istih.</w:t>
      </w:r>
    </w:p>
    <w:p w:rsidR="00B86E9E" w:rsidRPr="00103CBD" w:rsidRDefault="00B86E9E" w:rsidP="00B86E9E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lastRenderedPageBreak/>
        <w:t xml:space="preserve">3.6. </w:t>
      </w:r>
      <w:r w:rsidRPr="00103CB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Održavanje građevina, uređaja i predmeta javne namjene</w:t>
      </w:r>
    </w:p>
    <w:p w:rsidR="00B86E9E" w:rsidRDefault="00B86E9E" w:rsidP="00B86E9E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Aktivnosti koje su se provodile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sklopu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održavanj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građevina, uređaja i predmeta javne namjene odnosile su se na održavanje prometne signalizacije te autobusnih stajališta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kroz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popravak i zamjenu dotrajalih ili oštećenih dijelova.</w:t>
      </w:r>
    </w:p>
    <w:p w:rsidR="00B86E9E" w:rsidRDefault="00B86E9E" w:rsidP="00B86E9E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Default="00B86E9E" w:rsidP="00B86E9E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B86E9E" w:rsidRPr="00103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E9E" w:rsidRDefault="00B86E9E" w:rsidP="00B86E9E">
      <w:pPr>
        <w:pStyle w:val="Naslov1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_Toc57289668"/>
      <w:r w:rsidRPr="00313B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4. GODIŠNJI </w:t>
      </w:r>
      <w:r w:rsidR="00252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 POSLOVANJA U</w:t>
      </w:r>
      <w:r w:rsidRPr="00313B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2B77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252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4"/>
      <w:r w:rsidR="00252F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GODINI</w:t>
      </w:r>
    </w:p>
    <w:p w:rsidR="002B7724" w:rsidRPr="002B7724" w:rsidRDefault="002B7724" w:rsidP="002B7724"/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Plan i program aktivnosti u narednom razdoblju temelji se na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realizaciji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društva Rakovica d.o.o.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proteklom razdoblju vezano uz gospodarenje otpadom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sukladno 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Programu održavanja komunalne infrastrukture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obavljanju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komunalnih djelatnosti u 202</w:t>
      </w:r>
      <w:r w:rsidR="00090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godini koji donosi Općinsko vijeće Općine Rakovica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 svrhom učinkovitog obavljanja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slijedećih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komunalnih djelatnosti:</w:t>
      </w:r>
    </w:p>
    <w:p w:rsidR="00B86E9E" w:rsidRPr="00103CBD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nerazvrstanih cesta,</w:t>
      </w:r>
    </w:p>
    <w:p w:rsidR="00B86E9E" w:rsidRPr="00103CBD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javnih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površin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kojima nije dopušten promet motornih vozila,</w:t>
      </w:r>
    </w:p>
    <w:p w:rsidR="00B86E9E" w:rsidRPr="00103CBD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javnih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zelen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ih površina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B86E9E" w:rsidRPr="00103CBD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groblja i mrtvačnica,</w:t>
      </w:r>
    </w:p>
    <w:p w:rsidR="00B86E9E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javne rasvjete,</w:t>
      </w:r>
    </w:p>
    <w:p w:rsidR="00B86E9E" w:rsidRPr="00103CBD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čistoće javnih površina te</w:t>
      </w:r>
    </w:p>
    <w:p w:rsidR="00B86E9E" w:rsidRPr="00BF1AF8" w:rsidRDefault="00B86E9E" w:rsidP="00B86E9E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Održavanje građevina, 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ređaja i predmeta javne namjene</w:t>
      </w:r>
    </w:p>
    <w:p w:rsidR="00B86E9E" w:rsidRPr="00097564" w:rsidRDefault="00B86E9E" w:rsidP="00B86E9E">
      <w:pPr>
        <w:pStyle w:val="Naslov2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097564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4.1. G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ospodarenje otpadom</w:t>
      </w: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S ciljem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90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sustavnog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smanjenja količine </w:t>
      </w:r>
      <w:r w:rsidR="00090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miješanog </w:t>
      </w:r>
      <w:r w:rsidR="000A28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komunalnog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otpada koji se odlaže i potrebom da se iskoriste brojni vrijedni sastojci otpada koji su do sada nepotrebno završavali na odlagalištu otpada, u 202</w:t>
      </w:r>
      <w:r w:rsidR="000A28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.g. društvo Rakovica d.o.o. </w:t>
      </w:r>
      <w:r w:rsidR="005E5F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planira  nabavu</w:t>
      </w:r>
      <w:r w:rsidR="000A28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spremnika za plastiku i metal te papir i karton </w:t>
      </w:r>
      <w:r w:rsidR="005E5F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spellStart"/>
      <w:r w:rsidR="005E5F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cca</w:t>
      </w:r>
      <w:proofErr w:type="spellEnd"/>
      <w:r w:rsidR="005E5F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1.000 komada) koja </w:t>
      </w:r>
      <w:r w:rsidR="000A28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bi se financirala sredstvima Fonda za zaštitu okoliša i energetsku učinkovitost i Općine Rakovica.</w:t>
      </w:r>
    </w:p>
    <w:p w:rsidR="000A28B7" w:rsidRDefault="000A28B7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Također je plan u potpunosti uspostaviti digitalnu evidenciju odvoza otpada uz napomenu da se planira i povećanje cijena odvoza</w:t>
      </w:r>
      <w:r w:rsidR="00425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miješanog komunalnog otpada zbog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znatno povećanih troškova goriva i svih ostalih troškova vezanih uz sam odvoz.</w:t>
      </w: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B86E9E" w:rsidRPr="00BF1AF8" w:rsidRDefault="00B86E9E" w:rsidP="00B86E9E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F1AF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lastRenderedPageBreak/>
        <w:t>4.2. Održavanje nerazvrstanih cesta</w:t>
      </w:r>
    </w:p>
    <w:p w:rsidR="00B86E9E" w:rsidRDefault="00B86E9E" w:rsidP="00B86E9E">
      <w:pPr>
        <w:pStyle w:val="Naslov2"/>
        <w:spacing w:line="360" w:lineRule="auto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bookmarkStart w:id="5" w:name="_Toc57289669"/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ab/>
        <w:t>Provođenjem aktivnosti održavanja nerazvrstanih cesta temeljem naloga komunalnog redara, a prema uočenim potrebama, vršit će se kao i do sada sječa grmlja, korijenja i drugog drvenastog raslinja iz profila ceste i bankine, uništavanje nepoželjne vegetacije ( košnja trave unutar cestovnog pojasa), uklanjanje stabala iz prostora bankine, te uređenje zelenog  cestovnog pojasa.</w:t>
      </w:r>
    </w:p>
    <w:p w:rsidR="00B86E9E" w:rsidRDefault="00B86E9E" w:rsidP="00450EA6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Planiraju se i radovi nasipanja kamenim agregatom makadamskih prometnica i bankina radi saniranja oštećenja, niveliranja makadamskih i zemljanih pr</w:t>
      </w:r>
      <w:r w:rsidR="00FB2325">
        <w:rPr>
          <w:rFonts w:ascii="Times New Roman" w:hAnsi="Times New Roman" w:cs="Times New Roman"/>
          <w:sz w:val="24"/>
          <w:szCs w:val="24"/>
        </w:rPr>
        <w:t>ometnica i cestovnog zemljišta (sitni ručni i strojni popravci).</w:t>
      </w:r>
    </w:p>
    <w:p w:rsidR="00FB2325" w:rsidRPr="00BF1AF8" w:rsidRDefault="00FB2325" w:rsidP="00450EA6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Pored redovnog održavanja planira se i pojačano održavanje makadamskih prometnica za što će biti potrebno provođenje </w:t>
      </w:r>
      <w:r w:rsidR="005E5FC3">
        <w:rPr>
          <w:rFonts w:ascii="Times New Roman" w:hAnsi="Times New Roman" w:cs="Times New Roman"/>
          <w:sz w:val="24"/>
          <w:szCs w:val="24"/>
        </w:rPr>
        <w:t xml:space="preserve">postupka </w:t>
      </w:r>
      <w:r>
        <w:rPr>
          <w:rFonts w:ascii="Times New Roman" w:hAnsi="Times New Roman" w:cs="Times New Roman"/>
          <w:sz w:val="24"/>
          <w:szCs w:val="24"/>
        </w:rPr>
        <w:t xml:space="preserve">javne nabave </w:t>
      </w:r>
      <w:r w:rsidR="005E5FC3">
        <w:rPr>
          <w:rFonts w:ascii="Times New Roman" w:hAnsi="Times New Roman" w:cs="Times New Roman"/>
          <w:sz w:val="24"/>
          <w:szCs w:val="24"/>
        </w:rPr>
        <w:t>za kameni agregat. Za navedenu aktivnost</w:t>
      </w:r>
      <w:r>
        <w:rPr>
          <w:rFonts w:ascii="Times New Roman" w:hAnsi="Times New Roman" w:cs="Times New Roman"/>
          <w:sz w:val="24"/>
          <w:szCs w:val="24"/>
        </w:rPr>
        <w:t xml:space="preserve"> će vjerojatno biti potrebno i korištenje usluga kooperanata koji posjeduju tešku mehanizaciju.</w:t>
      </w:r>
    </w:p>
    <w:p w:rsidR="00B86E9E" w:rsidRDefault="00B86E9E" w:rsidP="00450EA6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 zimskom periodu organizirat će se i provoditi čišćenje snijega sa cesta te posipanje istih kamenim agregatom, sipinom ili soli kroz naselja sukladno Operativnom programu održavanja nerazvrstanih cesta i javnih površina u zimskom razdoblju 202</w:t>
      </w:r>
      <w:r w:rsidR="00FB23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B23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450EA6" w:rsidRDefault="00450EA6" w:rsidP="00450EA6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Kroz djelatnost zimske službe čisti</w:t>
      </w:r>
      <w:r w:rsidR="00C5221A">
        <w:rPr>
          <w:rFonts w:ascii="Times New Roman" w:hAnsi="Times New Roman" w:cs="Times New Roman"/>
          <w:sz w:val="24"/>
          <w:szCs w:val="24"/>
        </w:rPr>
        <w:t>t će</w:t>
      </w:r>
      <w:r>
        <w:rPr>
          <w:rFonts w:ascii="Times New Roman" w:hAnsi="Times New Roman" w:cs="Times New Roman"/>
          <w:sz w:val="24"/>
          <w:szCs w:val="24"/>
        </w:rPr>
        <w:t xml:space="preserve"> se i održava</w:t>
      </w:r>
      <w:r w:rsidR="00C5221A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 xml:space="preserve"> nešto više od 70 km nerazvrstanih cesta (asfaltiranih i makadamskih, preko 8 kilometara nogostupa te 24 autobusnih stajališta</w:t>
      </w:r>
      <w:r w:rsidR="00C522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Djelatnost zimske službe u najvećem se dijelu obavlja vlastitom sl</w:t>
      </w:r>
      <w:r w:rsidR="00C5221A">
        <w:rPr>
          <w:rFonts w:ascii="Times New Roman" w:hAnsi="Times New Roman" w:cs="Times New Roman"/>
          <w:sz w:val="24"/>
          <w:szCs w:val="24"/>
        </w:rPr>
        <w:t xml:space="preserve">užbom, a na određenim dionicama i uz pomoć kooperanata za </w:t>
      </w:r>
      <w:r>
        <w:rPr>
          <w:rFonts w:ascii="Times New Roman" w:hAnsi="Times New Roman" w:cs="Times New Roman"/>
          <w:sz w:val="24"/>
          <w:szCs w:val="24"/>
        </w:rPr>
        <w:t xml:space="preserve">dio naselja Korana koja administrativno pripada općini Rakovica te određene dionice u naseljima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Broćanac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Brezovac,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Drežnik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Grad, Lipovac, Lipovača, Jelov Klanac, Kordunski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Ljeskovac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Grabovac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Sadilovac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EA6" w:rsidRDefault="00450EA6" w:rsidP="00450EA6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Kao i svake godine tako se i tijekom 2022. godine planira usluga montaže prometnih znakova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uspornika</w:t>
      </w:r>
      <w:proofErr w:type="spellEnd"/>
      <w:r>
        <w:rPr>
          <w:rFonts w:ascii="Times New Roman" w:hAnsi="Times New Roman" w:cs="Times New Roman"/>
          <w:sz w:val="24"/>
          <w:szCs w:val="24"/>
        </w:rPr>
        <w:t>, a sve  temeljem naloga i narudžbenica izdanih od strane Općine Rakovica</w:t>
      </w:r>
      <w:r w:rsidR="00C5221A">
        <w:rPr>
          <w:rFonts w:ascii="Times New Roman" w:hAnsi="Times New Roman" w:cs="Times New Roman"/>
          <w:sz w:val="24"/>
          <w:szCs w:val="24"/>
        </w:rPr>
        <w:t xml:space="preserve"> odnosno komunalnog redara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EA6" w:rsidRDefault="00450EA6" w:rsidP="00B8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DD1" w:rsidRDefault="00FE5DD1" w:rsidP="00B8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DD1" w:rsidRDefault="00FE5DD1" w:rsidP="00B8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4.3. Održavanje javnih površina na kojima nije dozvoljen promet motornim vozilima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Aktivnosti će se provoditi kroz radove niveliranja i nasipanja kamenog agregata na dionicama makadamskih šetnica, niveliranja travnatih šetnica, saniranje oštećenja asfaltnih ili popločenih šetnica i pješačkih staza po nalogu komunalnog redara.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Šetnice će se održavati i kroz radove bojanja ograda, metenja i čišćenja pijeska nakon zimskih mjeseci, uklanjanja odrona zemlje i kamenja, održavanja nasipa i podzida, te zamjene rubnjaka i popločenja</w:t>
      </w:r>
      <w:r w:rsidR="00286352">
        <w:rPr>
          <w:rFonts w:ascii="Times New Roman" w:hAnsi="Times New Roman" w:cs="Times New Roman"/>
          <w:sz w:val="24"/>
          <w:szCs w:val="24"/>
        </w:rPr>
        <w:t xml:space="preserve"> kao i drugih poslova temeljen naloga odnosno narudžbenice Općine Rakovica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4.4. Održavanje javnih zelenih površina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Javne zelene površine na kojima će se provoditi aktivnosti održavanja su parkovi, drvoredi, spomenici, okoliš kulturno-povijesnih objekata, oglasne ploče, šetnice, odmorišta, vidikovci, cvjetnjaci, dječja i sportska igrališta i sl.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Planirane aktivnosti podrazumijevaju košnju i sijanje trave, obrezivanje drvenastog raslinja, održavanje i sadnju no</w:t>
      </w:r>
      <w:r w:rsidR="00286352">
        <w:rPr>
          <w:rFonts w:ascii="Times New Roman" w:hAnsi="Times New Roman" w:cs="Times New Roman"/>
          <w:sz w:val="24"/>
          <w:szCs w:val="24"/>
        </w:rPr>
        <w:t xml:space="preserve">vog ukrasnog raslinja i cvijeća i </w:t>
      </w:r>
      <w:r>
        <w:rPr>
          <w:rFonts w:ascii="Times New Roman" w:hAnsi="Times New Roman" w:cs="Times New Roman"/>
          <w:sz w:val="24"/>
          <w:szCs w:val="24"/>
        </w:rPr>
        <w:t xml:space="preserve"> odvoz smeća iz spremnika</w:t>
      </w:r>
      <w:r w:rsidR="00286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9E" w:rsidRPr="003C5E73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Javne zelene površine za održavanje nalaze se u naseljima Rakovica,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Drežnik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Grad, Čatrnja, Selište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Drežničko</w:t>
      </w:r>
      <w:proofErr w:type="spellEnd"/>
      <w:r w:rsidR="002316F0">
        <w:rPr>
          <w:rFonts w:ascii="Times New Roman" w:hAnsi="Times New Roman" w:cs="Times New Roman"/>
          <w:sz w:val="24"/>
          <w:szCs w:val="24"/>
        </w:rPr>
        <w:t xml:space="preserve"> uz spomen obilježja, dječja igrališta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16F0">
        <w:rPr>
          <w:rFonts w:ascii="Times New Roman" w:hAnsi="Times New Roman" w:cs="Times New Roman"/>
          <w:sz w:val="24"/>
          <w:szCs w:val="24"/>
        </w:rPr>
        <w:t xml:space="preserve">uz rijeku Koranu, oko potoka i izvora u Rakovici i Grabovcu, te bunara u Rakovici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Oštarski</w:t>
      </w:r>
      <w:r w:rsidR="002316F0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Stanovi</w:t>
      </w:r>
      <w:r w:rsidR="002316F0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2316F0">
        <w:rPr>
          <w:rFonts w:ascii="Times New Roman" w:hAnsi="Times New Roman" w:cs="Times New Roman"/>
          <w:sz w:val="24"/>
          <w:szCs w:val="24"/>
        </w:rPr>
        <w:t>Drežnik</w:t>
      </w:r>
      <w:proofErr w:type="spellEnd"/>
      <w:r w:rsidR="002316F0">
        <w:rPr>
          <w:rFonts w:ascii="Times New Roman" w:hAnsi="Times New Roman" w:cs="Times New Roman"/>
          <w:sz w:val="24"/>
          <w:szCs w:val="24"/>
        </w:rPr>
        <w:t xml:space="preserve"> Gradu i Selištu </w:t>
      </w:r>
      <w:proofErr w:type="spellStart"/>
      <w:r w:rsidR="002316F0">
        <w:rPr>
          <w:rFonts w:ascii="Times New Roman" w:hAnsi="Times New Roman" w:cs="Times New Roman"/>
          <w:sz w:val="24"/>
          <w:szCs w:val="24"/>
        </w:rPr>
        <w:t>Drežničkom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isto </w:t>
      </w:r>
      <w:r w:rsidR="002316F0">
        <w:rPr>
          <w:rFonts w:ascii="Times New Roman" w:hAnsi="Times New Roman" w:cs="Times New Roman"/>
          <w:sz w:val="24"/>
          <w:szCs w:val="24"/>
        </w:rPr>
        <w:t xml:space="preserve">se planira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6F0">
        <w:rPr>
          <w:rFonts w:ascii="Times New Roman" w:hAnsi="Times New Roman" w:cs="Times New Roman"/>
          <w:sz w:val="24"/>
          <w:szCs w:val="24"/>
        </w:rPr>
        <w:t>kositi  najmanje četiri</w:t>
      </w:r>
      <w:r w:rsidR="00286352">
        <w:rPr>
          <w:rFonts w:ascii="Times New Roman" w:hAnsi="Times New Roman" w:cs="Times New Roman"/>
          <w:sz w:val="24"/>
          <w:szCs w:val="24"/>
        </w:rPr>
        <w:t xml:space="preserve"> do šest</w:t>
      </w:r>
      <w:r>
        <w:rPr>
          <w:rFonts w:ascii="Times New Roman" w:hAnsi="Times New Roman" w:cs="Times New Roman"/>
          <w:sz w:val="24"/>
          <w:szCs w:val="24"/>
        </w:rPr>
        <w:t xml:space="preserve"> puta u </w:t>
      </w:r>
      <w:r w:rsidR="002316F0">
        <w:rPr>
          <w:rFonts w:ascii="Times New Roman" w:hAnsi="Times New Roman" w:cs="Times New Roman"/>
          <w:sz w:val="24"/>
          <w:szCs w:val="24"/>
        </w:rPr>
        <w:t>razdoblju od travnja do listopada</w:t>
      </w:r>
      <w:r>
        <w:rPr>
          <w:rFonts w:ascii="Times New Roman" w:hAnsi="Times New Roman" w:cs="Times New Roman"/>
          <w:sz w:val="24"/>
          <w:szCs w:val="24"/>
        </w:rPr>
        <w:t xml:space="preserve"> temeljem naloga komunalnog redara.</w:t>
      </w:r>
      <w:bookmarkEnd w:id="5"/>
    </w:p>
    <w:p w:rsidR="00B86E9E" w:rsidRDefault="00B86E9E" w:rsidP="00B86E9E">
      <w:pPr>
        <w:pStyle w:val="Naslov2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bookmarkStart w:id="6" w:name="_Toc57289670"/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4.5</w:t>
      </w:r>
      <w:r w:rsidRPr="00097564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. </w:t>
      </w:r>
      <w:bookmarkEnd w:id="6"/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Održavanje i uređenje groblja i mrtvačnica</w:t>
      </w:r>
    </w:p>
    <w:p w:rsidR="00B86E9E" w:rsidRPr="001D2087" w:rsidRDefault="00B86E9E" w:rsidP="00B86E9E"/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Plan održavanja i uređenja odnosi se na </w:t>
      </w:r>
      <w:r w:rsidR="002863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održavanje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dvije mrtvačnice i četiri groblja na području Općine, od kojih se dva nalaze u naselju Rakovici (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Puškarićevo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Grdićevo</w:t>
      </w:r>
      <w:proofErr w:type="spellEnd"/>
      <w:r w:rsidR="002863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groblje), a dva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naselju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Drežnik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Grad (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Žanićevo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proofErr w:type="spellStart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Pavlićevo</w:t>
      </w:r>
      <w:proofErr w:type="spellEnd"/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groblje).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prihoda grobne naknade i ostalih usluga upravljanja grobljima planira se rashod za redovito održavanje područja groblja i mrtvačnica</w:t>
      </w:r>
      <w:r w:rsidR="007744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96AA2" w:rsidRDefault="00496AA2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Društvo kao  Uprava groblja obavlja </w:t>
      </w:r>
      <w:r w:rsidR="002863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usluge ukopa pokojnika.</w:t>
      </w:r>
    </w:p>
    <w:p w:rsidR="007744B9" w:rsidRDefault="007744B9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A4EE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lastRenderedPageBreak/>
        <w:t>4.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6</w:t>
      </w:r>
      <w:r w:rsidRPr="00CA4EE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Javna rasvjeta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Aktivnost održavanja javne rasvjete tijekom godine podrazumijeva redovne izmjene vremena paljenja i gašenja iste te </w:t>
      </w:r>
      <w:r w:rsidR="007744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širenje mreže ja</w:t>
      </w:r>
      <w:r w:rsidR="000C0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vne rasvjete postavljanjem novih</w:t>
      </w:r>
      <w:r w:rsidR="007744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betonskih stupova i rasvjetnih tijela te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popunjavanje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novim odnosno ukidanje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pojedinih rasvjetnih tijela temeljem naloga komunalnog redara po naseljima koja su opskrbljena javnom rasvjetom.</w:t>
      </w:r>
    </w:p>
    <w:p w:rsidR="007744B9" w:rsidRDefault="007744B9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Također se planira i sječa drveća i raslinja koji se nalaze u blizini kablova javne rasvjete kao i onih koji priječe svjetlost prema javnim prometnicama ili javnim površinama.</w:t>
      </w:r>
    </w:p>
    <w:p w:rsidR="003B7038" w:rsidRDefault="00B86E9E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bookmarkStart w:id="7" w:name="_Toc57289671"/>
      <w:bookmarkStart w:id="8" w:name="_Toc57289672"/>
    </w:p>
    <w:p w:rsidR="003B7038" w:rsidRDefault="003B7038" w:rsidP="003B7038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4.7. Održavanje čistoće javnih  površina</w:t>
      </w:r>
    </w:p>
    <w:p w:rsidR="003B7038" w:rsidRDefault="003B7038" w:rsidP="003B7038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B7038" w:rsidRDefault="003B7038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Pod ovom aktivnošću planira se čišćenje snijega i leda kao i otpada sa dječjih i sportskih igrališta, autobusnih stajališta, spomen obilježja, javnih parkirališta, šetnica i pješačkih staza te nogostupa. Čišćenje se obavlja redovno, ali i dodatno prije i poslije </w:t>
      </w:r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proslave blagdana sv. Jelene Križarice u Rakovici, sv. Antuna Padovanskog u </w:t>
      </w:r>
      <w:proofErr w:type="spellStart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Drežnik</w:t>
      </w:r>
      <w:proofErr w:type="spellEnd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Gradu, održavanja sada već tradicionalnih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manifestacija</w:t>
      </w:r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organizaciji Turističke zajednice područja Plitvičke doline kao što su Plitvice </w:t>
      </w:r>
      <w:proofErr w:type="spellStart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Valley</w:t>
      </w:r>
      <w:proofErr w:type="spellEnd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Bike</w:t>
      </w:r>
      <w:proofErr w:type="spellEnd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Weekend</w:t>
      </w:r>
      <w:proofErr w:type="spellEnd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Uskršnji sajam, Legende plitvičkih dolina, </w:t>
      </w:r>
      <w:proofErr w:type="spellStart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Božični</w:t>
      </w:r>
      <w:proofErr w:type="spellEnd"/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sajam </w:t>
      </w:r>
      <w:r w:rsidR="000C0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 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proslave</w:t>
      </w:r>
      <w:r w:rsidR="00026B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Dana Općine,  Dana pobjede i domovinske zahvalnosti i Dana hrvatskih branitelja.</w:t>
      </w:r>
    </w:p>
    <w:p w:rsidR="00026B3B" w:rsidRDefault="00026B3B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6B3B" w:rsidRDefault="00026B3B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4.8. Održavanje građevina, uređaja i predmeta javne namjene</w:t>
      </w:r>
    </w:p>
    <w:p w:rsidR="00026B3B" w:rsidRDefault="00026B3B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07DC" w:rsidRDefault="00026B3B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3C06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Aktivnosti koje se planiraju u sklopu održavanja građevina, uređaja i predmeta javne namjene temelje se na nalozima i narudžbenicama izdanim od strane Općine Rakovica odnosno komunalnog redara, a uglavnom se odnose na održavanje autobusnih stajališta kroz popravak i zamjenu dotrajalih ili oštećenih dijelova kao i pripremne radove za </w:t>
      </w:r>
      <w:r w:rsidR="00496A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nove autobusne stanice.</w:t>
      </w:r>
    </w:p>
    <w:p w:rsidR="00FE5DD1" w:rsidRDefault="00FE5DD1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E5DD1" w:rsidRDefault="00FE5DD1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E5DD1" w:rsidRDefault="00FE5DD1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E5DD1" w:rsidRDefault="00FE5DD1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6AA2" w:rsidRDefault="00496AA2" w:rsidP="003B7038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4.9. </w:t>
      </w:r>
      <w:r w:rsidR="006B21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Ostale gospodarsko-tržišne djelatnosti</w:t>
      </w:r>
    </w:p>
    <w:p w:rsidR="000C07DC" w:rsidRDefault="000C07DC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0C07DC" w:rsidRDefault="000C07DC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Od ostalih gospodarsko-tržišnih djelatnosti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planiraju se kao i  svake godine do sada aktivnosti montaže i demontaže blagdanske (božićne) dekoracije na stupove javne rasvjete po naseljima te adventskih vijenaca i borova u 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naseljima Rakovica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Drežnik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Grad.</w:t>
      </w:r>
    </w:p>
    <w:p w:rsidR="000C07DC" w:rsidRDefault="000C07DC" w:rsidP="003B703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Također se planira i montaža te demontaža zastavica Republike Hrvatske i Općine Rakovica. Montaža kreće u svibnju, a demontaža nakon obilježavanja Dana sjećanja na žrtve Domovinskog rata i Dana sjećanja na žrtve Vukovara i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Škabrnje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6590A" w:rsidRDefault="000C07DC" w:rsidP="00EB3C0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Pored toga planiraju se i aktivnosti demontaža dotrajalih sprava na dječjim igralištima, izrad</w:t>
      </w:r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temelja za nove sprave, ograde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oko dječjih igrališta i slični poslovi </w:t>
      </w:r>
      <w:proofErr w:type="spellStart"/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betonaže</w:t>
      </w:r>
      <w:proofErr w:type="spellEnd"/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sanacije ovisno o potrebama, a temeljem narudžbenica Općine Rakovica odnosno komunalnog redara.</w:t>
      </w:r>
      <w:bookmarkEnd w:id="7"/>
    </w:p>
    <w:p w:rsidR="00EB3C0B" w:rsidRPr="003C5E73" w:rsidRDefault="00EB3C0B" w:rsidP="00EB3C0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bookmarkEnd w:id="8"/>
    <w:p w:rsidR="00B86E9E" w:rsidRDefault="00B86E9E" w:rsidP="0006590A">
      <w:pPr>
        <w:pStyle w:val="Naslov2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10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PLAN INVESTICIJA</w:t>
      </w:r>
    </w:p>
    <w:p w:rsidR="0006590A" w:rsidRPr="0006590A" w:rsidRDefault="0006590A" w:rsidP="0006590A"/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 investicijskih aktivnosti predstavlja godišnji pla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ulaganja u dugotrajnu imovinu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Z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2022. godinu se za isto planiraju sredstva u iznosu do 250.000,00 kn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to za nabavu nematerijalne</w:t>
      </w:r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imovin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0659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elaborat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materijalne imovine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transportnog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sredstva,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opremu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alate</w:t>
      </w:r>
      <w:r w:rsidR="00EB3C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opreme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 planira 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nabava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rasipač</w:t>
      </w:r>
      <w:r w:rsidR="00EB3C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pijeska i 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soli i još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jedan </w:t>
      </w:r>
      <w:proofErr w:type="spellStart"/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malčer</w:t>
      </w:r>
      <w:proofErr w:type="spellEnd"/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a od opreme</w:t>
      </w:r>
      <w:r w:rsidR="00381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 alata  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lanci za snijeg, 3-4 kosilice (trimer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950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jedno prijenosno računalo te mobilni telefon.</w:t>
      </w:r>
    </w:p>
    <w:p w:rsidR="00B86E9E" w:rsidRDefault="00B86E9E" w:rsidP="00B86E9E">
      <w:pPr>
        <w:pStyle w:val="Naslov1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" w:name="_Toc57289673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FE21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FINANCIJSKI PLAN ZA 202</w:t>
      </w:r>
      <w:r w:rsidR="00F064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FE21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9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GODINU</w:t>
      </w:r>
    </w:p>
    <w:p w:rsidR="00B86E9E" w:rsidRPr="004667B5" w:rsidRDefault="00B86E9E" w:rsidP="00B86E9E"/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Prihodi poslovanja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planiraju se  realizirati  obavljanjem redovnih  komunalnih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djelatnosti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navedenih u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Programu održavanja komunalne infrastrukture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obavljanja komunalnih djelatnosti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202</w:t>
      </w:r>
      <w:r w:rsidR="00F064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godini  koje donosi  Općinsko vijeće Općine Rakovica, a koje se odnosi na održavanje nerazvrstanih cesta, održavanje javnih površina na kojima nije dopušten premet motornim vozilima, održavanje građevina javne odvodnje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oborinskih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voda, održavanje javnih zelenih površina, održavanje građevina, uređaja i predmeta javne namjene, održavanje groblja, održavanje čistoće javnih površina te održavanje javne rasvjete. 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  <w:t>Osim  toga prihodi se planiraju i od obavljanja  komunalnih usluga koje se temeljem Zakona o komunalnom gospodarstvu („Narodne novine“, broj 68/18 i 110/18) odnose na  ukop pokojnika unutar groblja što podrazumijeva korištenje mrtvačnice, iskop grobnog mjesta, te usluge ispraćaja pokojnika.   Prihodi se planiraju i  od usluga od općeg interesa kao što je  gospodarenje otpadom (prikupljanje</w:t>
      </w:r>
      <w:r w:rsidR="00F064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odvoz otpada), te od gospodarsko-tržišnih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djelatnosti kao što je r</w:t>
      </w:r>
      <w:r w:rsidR="00D26B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 strojem ( auto košarom</w:t>
      </w:r>
      <w:r w:rsidR="00F064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064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poslovi za Općinu Rakovica koji nisu obuhvaćeni Ugovorima odnosno poslovi koji se obavljaju temeljem izdanih narudžbenica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86E9E" w:rsidRDefault="00B86E9E" w:rsidP="00B86E9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A761CE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Tablica 2. prikazuje plan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prihoda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temeljen na procjeni 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realizacije  prihoda iz 202</w:t>
      </w:r>
      <w:r w:rsidR="00F064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86E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.godine, ali i </w:t>
      </w:r>
      <w:r w:rsidR="000D7F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drugim čimbenicima između kojih je i </w:t>
      </w:r>
      <w:r w:rsidR="00FA74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povećanje</w:t>
      </w:r>
      <w:r w:rsidR="00486E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cijena odv</w:t>
      </w:r>
      <w:r w:rsidR="00FA74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oza miješanog komunalnog otpada, veći broj korisnika usluge i sl.</w:t>
      </w:r>
      <w:bookmarkStart w:id="10" w:name="_GoBack"/>
      <w:bookmarkEnd w:id="10"/>
    </w:p>
    <w:p w:rsidR="00B86E9E" w:rsidRPr="00FE21E1" w:rsidRDefault="00B86E9E" w:rsidP="00B86E9E">
      <w:pPr>
        <w:pStyle w:val="Opisslike"/>
        <w:keepNext/>
        <w:rPr>
          <w:rFonts w:ascii="Times New Roman" w:hAnsi="Times New Roman" w:cs="Times New Roman"/>
          <w:color w:val="0D0D0D" w:themeColor="text1" w:themeTint="F2"/>
          <w:sz w:val="22"/>
          <w:szCs w:val="20"/>
        </w:rPr>
      </w:pPr>
      <w:bookmarkStart w:id="11" w:name="_Toc28281235"/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TABLICA </w: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begin"/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instrText xml:space="preserve"> SEQ Tablica \* ARABIC </w:instrTex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D0D0D" w:themeColor="text1" w:themeTint="F2"/>
          <w:sz w:val="22"/>
          <w:szCs w:val="20"/>
        </w:rPr>
        <w:t>2</w: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end"/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. </w:t>
      </w:r>
      <w:bookmarkEnd w:id="11"/>
      <w:r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  Plan  prihoda za 202</w:t>
      </w:r>
      <w:r w:rsidR="00F06472">
        <w:rPr>
          <w:rFonts w:ascii="Times New Roman" w:hAnsi="Times New Roman" w:cs="Times New Roman"/>
          <w:color w:val="0D0D0D" w:themeColor="text1" w:themeTint="F2"/>
          <w:sz w:val="22"/>
          <w:szCs w:val="20"/>
        </w:rPr>
        <w:t>2</w:t>
      </w:r>
      <w:r>
        <w:rPr>
          <w:rFonts w:ascii="Times New Roman" w:hAnsi="Times New Roman" w:cs="Times New Roman"/>
          <w:color w:val="0D0D0D" w:themeColor="text1" w:themeTint="F2"/>
          <w:sz w:val="22"/>
          <w:szCs w:val="20"/>
        </w:rPr>
        <w:t>. godinu</w:t>
      </w:r>
    </w:p>
    <w:tbl>
      <w:tblPr>
        <w:tblStyle w:val="Reetkatablice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</w:tblGrid>
      <w:tr w:rsidR="00B86E9E" w:rsidRPr="00103CBD" w:rsidTr="00450EA6">
        <w:trPr>
          <w:trHeight w:val="639"/>
        </w:trPr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PRIHODI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PROCJENA REALI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CIJE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="00F0647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(u kunama)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PLAN ZA 202</w:t>
            </w:r>
            <w:r w:rsidR="00F0647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( u kunama)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3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Prihod od odvoza otpada </w:t>
            </w:r>
            <w:proofErr w:type="spellStart"/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otpada</w:t>
            </w:r>
            <w:proofErr w:type="spellEnd"/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fizičke osobe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0F19F5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</w:t>
            </w:r>
            <w:r w:rsidR="000F19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odvoza otpada – pravne osobe</w:t>
            </w:r>
          </w:p>
        </w:tc>
        <w:tc>
          <w:tcPr>
            <w:tcW w:w="1701" w:type="dxa"/>
            <w:vAlign w:val="center"/>
          </w:tcPr>
          <w:p w:rsidR="00B86E9E" w:rsidRPr="00103CBD" w:rsidRDefault="00F23B34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73365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korištenja odlagališta komunalnog otpada</w:t>
            </w:r>
          </w:p>
        </w:tc>
        <w:tc>
          <w:tcPr>
            <w:tcW w:w="1701" w:type="dxa"/>
            <w:vAlign w:val="center"/>
          </w:tcPr>
          <w:p w:rsidR="00B86E9E" w:rsidRPr="00103CBD" w:rsidRDefault="000F19F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258.000,00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godišnje grobne naknade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115.000,00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F17E32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  <w:r w:rsidR="00F17E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naknade za dodjelu grobnog mjesta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0F19F5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0F19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F17E32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F17E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3453C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ukopa (korištenje mrtvačnice, iskop grobnog mjesta, ukop i ispraćaj pokojnika)</w:t>
            </w:r>
          </w:p>
        </w:tc>
        <w:tc>
          <w:tcPr>
            <w:tcW w:w="1701" w:type="dxa"/>
            <w:vAlign w:val="center"/>
          </w:tcPr>
          <w:p w:rsidR="00B86E9E" w:rsidRPr="00103CBD" w:rsidRDefault="00B3453C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61.500,00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izdavanja suglasnosti za izvođenje radova na groblju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grijanja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najma – rada strojeva</w:t>
            </w:r>
          </w:p>
        </w:tc>
        <w:tc>
          <w:tcPr>
            <w:tcW w:w="1701" w:type="dxa"/>
            <w:vAlign w:val="center"/>
          </w:tcPr>
          <w:p w:rsidR="00B86E9E" w:rsidRPr="00103CBD" w:rsidRDefault="000F19F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Prihod od održavanja građevina odvodnje </w:t>
            </w:r>
            <w:proofErr w:type="spellStart"/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oborinskih</w:t>
            </w:r>
            <w:proofErr w:type="spellEnd"/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voda</w:t>
            </w:r>
          </w:p>
        </w:tc>
        <w:tc>
          <w:tcPr>
            <w:tcW w:w="1701" w:type="dxa"/>
            <w:vAlign w:val="center"/>
          </w:tcPr>
          <w:p w:rsidR="00B86E9E" w:rsidRPr="00103CBD" w:rsidRDefault="000F19F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1F6D6A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Prihod od redovnog održavanja nerazvrstanih </w:t>
            </w:r>
          </w:p>
        </w:tc>
        <w:tc>
          <w:tcPr>
            <w:tcW w:w="1701" w:type="dxa"/>
            <w:vAlign w:val="center"/>
          </w:tcPr>
          <w:p w:rsidR="00B86E9E" w:rsidRPr="00103CBD" w:rsidRDefault="00F23B34" w:rsidP="0073365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="0073365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1F6D6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5.000,00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657.000,00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redovnog održavanja javnih površina</w:t>
            </w:r>
          </w:p>
        </w:tc>
        <w:tc>
          <w:tcPr>
            <w:tcW w:w="1701" w:type="dxa"/>
            <w:vAlign w:val="center"/>
          </w:tcPr>
          <w:p w:rsidR="00B86E9E" w:rsidRPr="00103CBD" w:rsidRDefault="00EA0FE7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10348A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119.</w:t>
            </w:r>
            <w:r w:rsidR="0010348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redovnog održavanja groblja i mrtvačnica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17.500,00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redovnog održavanja javne rasvjete</w:t>
            </w:r>
            <w:r w:rsidR="00A7345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sa proširenjem mreže</w:t>
            </w:r>
          </w:p>
        </w:tc>
        <w:tc>
          <w:tcPr>
            <w:tcW w:w="1701" w:type="dxa"/>
            <w:vAlign w:val="center"/>
          </w:tcPr>
          <w:p w:rsidR="00B86E9E" w:rsidRPr="00103CBD" w:rsidRDefault="001F6D6A" w:rsidP="00A73459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2864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="00A7345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2864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A73459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Prihod od održavanja građevina, uređaja i predmeta javne namjene</w:t>
            </w:r>
          </w:p>
        </w:tc>
        <w:tc>
          <w:tcPr>
            <w:tcW w:w="1701" w:type="dxa"/>
            <w:vAlign w:val="center"/>
          </w:tcPr>
          <w:p w:rsidR="00B86E9E" w:rsidRPr="00103CBD" w:rsidRDefault="001F6D6A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1F6D6A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Prihod od </w:t>
            </w:r>
            <w:r w:rsidR="001F6D6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čišćenja snijega sa prometnica i nogostupa</w:t>
            </w:r>
          </w:p>
        </w:tc>
        <w:tc>
          <w:tcPr>
            <w:tcW w:w="1701" w:type="dxa"/>
            <w:vAlign w:val="center"/>
          </w:tcPr>
          <w:p w:rsidR="00B86E9E" w:rsidRPr="00103CBD" w:rsidRDefault="001F6D6A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189.000,00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1F6D6A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Prihod od prodaje ostalih usluga</w:t>
            </w:r>
          </w:p>
        </w:tc>
        <w:tc>
          <w:tcPr>
            <w:tcW w:w="1701" w:type="dxa"/>
            <w:vAlign w:val="center"/>
          </w:tcPr>
          <w:p w:rsidR="00B86E9E" w:rsidRPr="00103CBD" w:rsidRDefault="001F6D6A" w:rsidP="0028644E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37.</w:t>
            </w:r>
            <w:r w:rsidR="002864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1F6D6A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Financijski prihodi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F23B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="001F6D6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B86E9E" w:rsidRPr="00103CBD" w:rsidRDefault="00A73459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1.500,00</w:t>
            </w:r>
          </w:p>
        </w:tc>
      </w:tr>
      <w:tr w:rsidR="00B86E9E" w:rsidRPr="00103CBD" w:rsidTr="00450EA6">
        <w:trPr>
          <w:trHeight w:val="670"/>
        </w:trPr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UKUPNI PRIHODI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F23B3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2.</w:t>
            </w:r>
            <w:r w:rsidR="00486E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6</w:t>
            </w:r>
            <w:r w:rsidR="007336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5</w:t>
            </w:r>
            <w:r w:rsidR="00F23B3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B86E9E" w:rsidRPr="00103CBD" w:rsidRDefault="00F17E32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2.955.000,00</w:t>
            </w:r>
          </w:p>
        </w:tc>
      </w:tr>
    </w:tbl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Rashodi poslovanja planiraju se temeljem analize troškova iz prošlih razdoblja i ka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takvi predstavljaju plan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 obavljanje redo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vitog poslovanja u razdoblju 2021. godine</w:t>
      </w: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86E9E" w:rsidRPr="00FE21E1" w:rsidRDefault="00B86E9E" w:rsidP="00B86E9E">
      <w:pPr>
        <w:pStyle w:val="Opisslike"/>
        <w:keepNext/>
        <w:rPr>
          <w:rFonts w:ascii="Times New Roman" w:hAnsi="Times New Roman" w:cs="Times New Roman"/>
          <w:color w:val="0D0D0D" w:themeColor="text1" w:themeTint="F2"/>
          <w:sz w:val="22"/>
          <w:szCs w:val="20"/>
        </w:rPr>
      </w:pPr>
      <w:bookmarkStart w:id="12" w:name="_Toc28281236"/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TABLICA </w: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begin"/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instrText xml:space="preserve"> SEQ Tablica \* ARABIC </w:instrTex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D0D0D" w:themeColor="text1" w:themeTint="F2"/>
          <w:sz w:val="22"/>
          <w:szCs w:val="20"/>
        </w:rPr>
        <w:t>3</w: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end"/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. </w:t>
      </w:r>
      <w:bookmarkEnd w:id="12"/>
      <w:r>
        <w:rPr>
          <w:rFonts w:ascii="Times New Roman" w:hAnsi="Times New Roman" w:cs="Times New Roman"/>
          <w:color w:val="0D0D0D" w:themeColor="text1" w:themeTint="F2"/>
          <w:sz w:val="22"/>
          <w:szCs w:val="20"/>
        </w:rPr>
        <w:t>Projekcija rashoda za 2021. godinu</w:t>
      </w:r>
    </w:p>
    <w:tbl>
      <w:tblPr>
        <w:tblStyle w:val="Reetkatablice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1843"/>
      </w:tblGrid>
      <w:tr w:rsidR="00B86E9E" w:rsidRPr="00103CBD" w:rsidTr="00450EA6">
        <w:trPr>
          <w:trHeight w:val="667"/>
        </w:trPr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RASHODI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PROCJENA REALIZACIJE 2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="00604CF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(u kunama)</w:t>
            </w:r>
          </w:p>
        </w:tc>
        <w:tc>
          <w:tcPr>
            <w:tcW w:w="1843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PLAN ZA 20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="00604CF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(u kunama)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20"/>
              </w:rPr>
              <w:t>3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sirovina i materijala</w:t>
            </w:r>
          </w:p>
        </w:tc>
        <w:tc>
          <w:tcPr>
            <w:tcW w:w="1701" w:type="dxa"/>
            <w:vAlign w:val="center"/>
          </w:tcPr>
          <w:p w:rsidR="00B86E9E" w:rsidRPr="00103CBD" w:rsidRDefault="00CB2A95" w:rsidP="00CB2A95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675</w:t>
            </w:r>
            <w:r w:rsidR="00B86E9E"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Materijalni troškovi administracije, uprave i prodaje</w:t>
            </w:r>
          </w:p>
        </w:tc>
        <w:tc>
          <w:tcPr>
            <w:tcW w:w="1701" w:type="dxa"/>
            <w:vAlign w:val="center"/>
          </w:tcPr>
          <w:p w:rsidR="00B86E9E" w:rsidRPr="00103CBD" w:rsidRDefault="00871A0B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A07C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="00B86E9E"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.500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Sitni inventar i auto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gume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Rezervni dijelovi i materijal za održavanje</w:t>
            </w:r>
          </w:p>
        </w:tc>
        <w:tc>
          <w:tcPr>
            <w:tcW w:w="1701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B86E9E"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5.000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Potrošena energija u proizvodnji dobara i usluga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A07CDE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A07C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Potrošena energija u administraciji, upravi i prodaji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16.500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telefona, prijevoza i sl.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17.300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vanjskih usluga</w:t>
            </w:r>
          </w:p>
        </w:tc>
        <w:tc>
          <w:tcPr>
            <w:tcW w:w="1701" w:type="dxa"/>
            <w:vAlign w:val="center"/>
          </w:tcPr>
          <w:p w:rsidR="00B86E9E" w:rsidRPr="00103CBD" w:rsidRDefault="00CF5F61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  <w:r w:rsidR="00B86E9E"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Usluge održavanja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CF5F61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CF5F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Usluge registracije prijevoznih sredstava i troškovi dozvola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Usluge promidžbe i oglašavanja 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1.000,00</w:t>
            </w:r>
          </w:p>
        </w:tc>
        <w:tc>
          <w:tcPr>
            <w:tcW w:w="1843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Intelektualne i osobne usluge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04EC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="0088713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komunalnih i sličnih usluga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Usluge reprezentacije - ugošćivanja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CF5F61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  <w:r w:rsidR="00CF5F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ostalih vanjskih usluga</w:t>
            </w:r>
          </w:p>
        </w:tc>
        <w:tc>
          <w:tcPr>
            <w:tcW w:w="1701" w:type="dxa"/>
            <w:vAlign w:val="center"/>
          </w:tcPr>
          <w:p w:rsidR="00B86E9E" w:rsidRPr="00103CBD" w:rsidRDefault="00CF5F61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B86E9E"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887130" w:rsidRPr="00103CBD" w:rsidRDefault="00804EC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93.500,00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osoblja</w:t>
            </w:r>
          </w:p>
        </w:tc>
        <w:tc>
          <w:tcPr>
            <w:tcW w:w="1701" w:type="dxa"/>
            <w:vAlign w:val="center"/>
          </w:tcPr>
          <w:p w:rsidR="00B86E9E" w:rsidRPr="00103CBD" w:rsidRDefault="00CF5F61" w:rsidP="00A07CDE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</w:t>
            </w:r>
            <w:r w:rsidR="00A07C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1.500.000,00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Amortizacija</w:t>
            </w:r>
          </w:p>
        </w:tc>
        <w:tc>
          <w:tcPr>
            <w:tcW w:w="1701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40.000,00</w:t>
            </w:r>
          </w:p>
        </w:tc>
        <w:tc>
          <w:tcPr>
            <w:tcW w:w="1843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Premije osiguranja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Bankovne usluge i troškovi platnog prometa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Troškovi prava korištenja (HRT)</w:t>
            </w:r>
          </w:p>
        </w:tc>
        <w:tc>
          <w:tcPr>
            <w:tcW w:w="1701" w:type="dxa"/>
            <w:vAlign w:val="center"/>
          </w:tcPr>
          <w:p w:rsidR="00B86E9E" w:rsidRPr="00103CBD" w:rsidRDefault="00CF5F61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1.000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Ostali troškovi poslovanja – nematerijalni (izobrazba, sistematski pregledi)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  <w:r w:rsidR="00B86E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.000,00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1.000,00</w:t>
            </w:r>
          </w:p>
        </w:tc>
        <w:tc>
          <w:tcPr>
            <w:tcW w:w="1843" w:type="dxa"/>
            <w:vAlign w:val="center"/>
          </w:tcPr>
          <w:p w:rsidR="00B86E9E" w:rsidRPr="00103CBD" w:rsidRDefault="00CB2A95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</w:tr>
      <w:tr w:rsidR="00B86E9E" w:rsidRPr="00103CBD" w:rsidTr="00450EA6"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Ostali poslovni rashodi</w:t>
            </w:r>
          </w:p>
        </w:tc>
        <w:tc>
          <w:tcPr>
            <w:tcW w:w="170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5.000,00</w:t>
            </w:r>
          </w:p>
        </w:tc>
      </w:tr>
      <w:tr w:rsidR="00B86E9E" w:rsidRPr="00103CBD" w:rsidTr="00450EA6">
        <w:trPr>
          <w:trHeight w:val="566"/>
        </w:trPr>
        <w:tc>
          <w:tcPr>
            <w:tcW w:w="4961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UKUPNI RASHODI</w:t>
            </w:r>
          </w:p>
        </w:tc>
        <w:tc>
          <w:tcPr>
            <w:tcW w:w="1701" w:type="dxa"/>
            <w:vAlign w:val="center"/>
          </w:tcPr>
          <w:p w:rsidR="00B86E9E" w:rsidRPr="00103CBD" w:rsidRDefault="00901BCC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2.590.000,00</w:t>
            </w:r>
          </w:p>
        </w:tc>
        <w:tc>
          <w:tcPr>
            <w:tcW w:w="1843" w:type="dxa"/>
            <w:vAlign w:val="center"/>
          </w:tcPr>
          <w:p w:rsidR="00B86E9E" w:rsidRPr="00103CBD" w:rsidRDefault="00887130" w:rsidP="00450EA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2.940.000,00</w:t>
            </w:r>
          </w:p>
        </w:tc>
      </w:tr>
    </w:tbl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86E9E" w:rsidRPr="00103CBD" w:rsidRDefault="00B86E9E" w:rsidP="00B86E9E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3C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Odnos prihoda i rashoda prikazan je u nastavku.</w:t>
      </w:r>
    </w:p>
    <w:p w:rsidR="00B86E9E" w:rsidRPr="00FE21E1" w:rsidRDefault="00B86E9E" w:rsidP="00B86E9E">
      <w:pPr>
        <w:pStyle w:val="Opisslike"/>
        <w:keepNext/>
        <w:rPr>
          <w:rFonts w:ascii="Times New Roman" w:hAnsi="Times New Roman" w:cs="Times New Roman"/>
          <w:color w:val="0D0D0D" w:themeColor="text1" w:themeTint="F2"/>
          <w:sz w:val="22"/>
          <w:szCs w:val="20"/>
        </w:rPr>
      </w:pPr>
      <w:bookmarkStart w:id="13" w:name="_Toc28281237"/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TABLICA </w: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begin"/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instrText xml:space="preserve"> SEQ Tablica \* ARABIC </w:instrTex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D0D0D" w:themeColor="text1" w:themeTint="F2"/>
          <w:sz w:val="22"/>
          <w:szCs w:val="20"/>
        </w:rPr>
        <w:t>4</w:t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fldChar w:fldCharType="end"/>
      </w:r>
      <w:r w:rsidRPr="00FE21E1"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. </w:t>
      </w:r>
      <w:bookmarkEnd w:id="13"/>
      <w:r>
        <w:rPr>
          <w:rFonts w:ascii="Times New Roman" w:hAnsi="Times New Roman" w:cs="Times New Roman"/>
          <w:color w:val="0D0D0D" w:themeColor="text1" w:themeTint="F2"/>
          <w:sz w:val="22"/>
          <w:szCs w:val="20"/>
        </w:rPr>
        <w:t xml:space="preserve"> Plan poslovanja Rakovice d.o.o. u 202</w:t>
      </w:r>
      <w:r w:rsidR="00901BCC">
        <w:rPr>
          <w:rFonts w:ascii="Times New Roman" w:hAnsi="Times New Roman" w:cs="Times New Roman"/>
          <w:color w:val="0D0D0D" w:themeColor="text1" w:themeTint="F2"/>
          <w:sz w:val="22"/>
          <w:szCs w:val="20"/>
        </w:rPr>
        <w:t>2</w:t>
      </w:r>
      <w:r>
        <w:rPr>
          <w:rFonts w:ascii="Times New Roman" w:hAnsi="Times New Roman" w:cs="Times New Roman"/>
          <w:color w:val="0D0D0D" w:themeColor="text1" w:themeTint="F2"/>
          <w:sz w:val="22"/>
          <w:szCs w:val="20"/>
        </w:rPr>
        <w:t>. godinu</w:t>
      </w:r>
    </w:p>
    <w:tbl>
      <w:tblPr>
        <w:tblStyle w:val="Reetkatablice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2"/>
        <w:gridCol w:w="4111"/>
      </w:tblGrid>
      <w:tr w:rsidR="00B86E9E" w:rsidRPr="00103CBD" w:rsidTr="00450EA6">
        <w:tc>
          <w:tcPr>
            <w:tcW w:w="4252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OPIS</w:t>
            </w:r>
          </w:p>
        </w:tc>
        <w:tc>
          <w:tcPr>
            <w:tcW w:w="411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UKUPAN IZNOS (u kunama)</w:t>
            </w:r>
          </w:p>
        </w:tc>
      </w:tr>
      <w:tr w:rsidR="00B86E9E" w:rsidRPr="00103CBD" w:rsidTr="00450EA6">
        <w:trPr>
          <w:trHeight w:val="217"/>
        </w:trPr>
        <w:tc>
          <w:tcPr>
            <w:tcW w:w="4252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B86E9E" w:rsidRPr="00103CBD" w:rsidRDefault="00B86E9E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03CBD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2</w:t>
            </w:r>
          </w:p>
        </w:tc>
      </w:tr>
      <w:tr w:rsidR="00B86E9E" w:rsidRPr="00103CBD" w:rsidTr="00450EA6">
        <w:tc>
          <w:tcPr>
            <w:tcW w:w="4252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UKUPNO PRIHODI</w:t>
            </w:r>
          </w:p>
        </w:tc>
        <w:tc>
          <w:tcPr>
            <w:tcW w:w="4111" w:type="dxa"/>
            <w:vAlign w:val="center"/>
          </w:tcPr>
          <w:p w:rsidR="00B86E9E" w:rsidRPr="00103CBD" w:rsidRDefault="00901BCC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2.955.000</w:t>
            </w:r>
            <w:r w:rsidR="00B86E9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,00</w:t>
            </w:r>
          </w:p>
        </w:tc>
      </w:tr>
      <w:tr w:rsidR="00B86E9E" w:rsidRPr="00103CBD" w:rsidTr="00450EA6">
        <w:tc>
          <w:tcPr>
            <w:tcW w:w="4252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UKUPNI RASHODI</w:t>
            </w:r>
          </w:p>
        </w:tc>
        <w:tc>
          <w:tcPr>
            <w:tcW w:w="4111" w:type="dxa"/>
            <w:vAlign w:val="center"/>
          </w:tcPr>
          <w:p w:rsidR="00B86E9E" w:rsidRPr="00103CBD" w:rsidRDefault="00901BCC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2.940.000,00</w:t>
            </w:r>
          </w:p>
        </w:tc>
      </w:tr>
      <w:tr w:rsidR="00B86E9E" w:rsidRPr="00103CBD" w:rsidTr="00450EA6">
        <w:tc>
          <w:tcPr>
            <w:tcW w:w="4252" w:type="dxa"/>
            <w:vAlign w:val="center"/>
          </w:tcPr>
          <w:p w:rsidR="00B86E9E" w:rsidRPr="00103CBD" w:rsidRDefault="00B86E9E" w:rsidP="00450EA6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 w:rsidRPr="00103CB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DOBIT PRIJE OPOREZIVANJA</w:t>
            </w:r>
          </w:p>
        </w:tc>
        <w:tc>
          <w:tcPr>
            <w:tcW w:w="4111" w:type="dxa"/>
            <w:vAlign w:val="center"/>
          </w:tcPr>
          <w:p w:rsidR="00B86E9E" w:rsidRPr="00A07CDE" w:rsidRDefault="00901BCC" w:rsidP="0045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07CD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15.000,00</w:t>
            </w:r>
          </w:p>
        </w:tc>
      </w:tr>
    </w:tbl>
    <w:p w:rsidR="00B86E9E" w:rsidRPr="00103CBD" w:rsidRDefault="00B86E9E" w:rsidP="00B86E9E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B86E9E" w:rsidRPr="00103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E9E" w:rsidRPr="001F6625" w:rsidRDefault="00B86E9E" w:rsidP="00B86E9E">
      <w:pPr>
        <w:rPr>
          <w:rFonts w:ascii="Times New Roman" w:hAnsi="Times New Roman" w:cs="Times New Roman"/>
          <w:sz w:val="24"/>
        </w:rPr>
      </w:pPr>
    </w:p>
    <w:p w:rsidR="004E5026" w:rsidRDefault="004E5026"/>
    <w:sectPr w:rsidR="004E5026" w:rsidSect="0045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2" w:rsidRDefault="00D26B42">
      <w:pPr>
        <w:spacing w:after="0" w:line="240" w:lineRule="auto"/>
      </w:pPr>
      <w:r>
        <w:separator/>
      </w:r>
    </w:p>
  </w:endnote>
  <w:endnote w:type="continuationSeparator" w:id="0">
    <w:p w:rsidR="00D26B42" w:rsidRDefault="00D2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2" w:rsidRPr="00BF1AF8" w:rsidRDefault="00D26B42" w:rsidP="00450EA6">
    <w:pPr>
      <w:pStyle w:val="Podnoje"/>
      <w:tabs>
        <w:tab w:val="left" w:pos="275"/>
      </w:tabs>
      <w:rPr>
        <w:b/>
      </w:rPr>
    </w:pPr>
    <w:r w:rsidRPr="00BF1AF8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2" w:rsidRDefault="00D26B42">
      <w:pPr>
        <w:spacing w:after="0" w:line="240" w:lineRule="auto"/>
      </w:pPr>
      <w:r>
        <w:separator/>
      </w:r>
    </w:p>
  </w:footnote>
  <w:footnote w:type="continuationSeparator" w:id="0">
    <w:p w:rsidR="00D26B42" w:rsidRDefault="00D2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2" w:rsidRPr="00F04EE8" w:rsidRDefault="00D26B42" w:rsidP="00450EA6">
    <w:pPr>
      <w:pStyle w:val="Zaglavlje"/>
      <w:spacing w:line="276" w:lineRule="auto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F04EE8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RAKOVICA D.O.O., </w:t>
    </w:r>
    <w:r>
      <w:rPr>
        <w:rFonts w:ascii="Times New Roman" w:hAnsi="Times New Roman" w:cs="Times New Roman"/>
        <w:color w:val="595959" w:themeColor="text1" w:themeTint="A6"/>
        <w:sz w:val="18"/>
        <w:szCs w:val="18"/>
      </w:rPr>
      <w:t>za obavljanje komunalnih djelatnosti,</w:t>
    </w:r>
  </w:p>
  <w:p w:rsidR="00D26B42" w:rsidRPr="00F04EE8" w:rsidRDefault="00D26B42" w:rsidP="00450EA6">
    <w:pPr>
      <w:pStyle w:val="Zaglavlje"/>
      <w:spacing w:line="276" w:lineRule="auto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F04EE8">
      <w:rPr>
        <w:rFonts w:ascii="Times New Roman" w:hAnsi="Times New Roman" w:cs="Times New Roman"/>
        <w:color w:val="595959" w:themeColor="text1" w:themeTint="A6"/>
        <w:sz w:val="18"/>
        <w:szCs w:val="18"/>
      </w:rPr>
      <w:t>47 245 Rakovica, Rakovica 32</w:t>
    </w:r>
  </w:p>
  <w:p w:rsidR="00D26B42" w:rsidRPr="00F04EE8" w:rsidRDefault="00D26B42" w:rsidP="00450EA6">
    <w:pPr>
      <w:spacing w:after="0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F04EE8">
      <w:rPr>
        <w:rFonts w:ascii="Times New Roman" w:hAnsi="Times New Roman" w:cs="Times New Roman"/>
        <w:color w:val="595959" w:themeColor="text1" w:themeTint="A6"/>
        <w:sz w:val="18"/>
        <w:szCs w:val="18"/>
      </w:rPr>
      <w:t xml:space="preserve">E-MAIL: </w:t>
    </w:r>
    <w:hyperlink r:id="rId1" w:history="1">
      <w:r w:rsidRPr="00F04EE8">
        <w:rPr>
          <w:rStyle w:val="Hiperveza"/>
          <w:rFonts w:ascii="Times New Roman" w:hAnsi="Times New Roman" w:cs="Times New Roman"/>
          <w:sz w:val="18"/>
          <w:szCs w:val="18"/>
        </w:rPr>
        <w:t>info@rakovica-doo.hr</w:t>
      </w:r>
    </w:hyperlink>
  </w:p>
  <w:p w:rsidR="00D26B42" w:rsidRPr="00F04EE8" w:rsidRDefault="00D26B42" w:rsidP="00450EA6">
    <w:pPr>
      <w:spacing w:after="0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F04EE8">
      <w:rPr>
        <w:rFonts w:ascii="Times New Roman" w:hAnsi="Times New Roman" w:cs="Times New Roman"/>
        <w:color w:val="595959" w:themeColor="text1" w:themeTint="A6"/>
        <w:sz w:val="18"/>
        <w:szCs w:val="18"/>
      </w:rPr>
      <w:t>TEL/FAX: + 385 47 784 101</w:t>
    </w:r>
  </w:p>
  <w:p w:rsidR="00D26B42" w:rsidRPr="00F04EE8" w:rsidRDefault="00D26B42" w:rsidP="00450EA6">
    <w:pPr>
      <w:spacing w:after="0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F04EE8">
      <w:rPr>
        <w:rFonts w:ascii="Times New Roman" w:hAnsi="Times New Roman" w:cs="Times New Roman"/>
        <w:color w:val="595959" w:themeColor="text1" w:themeTint="A6"/>
        <w:sz w:val="18"/>
        <w:szCs w:val="18"/>
      </w:rPr>
      <w:t>HR0624840081106966375</w:t>
    </w:r>
  </w:p>
  <w:p w:rsidR="00D26B42" w:rsidRPr="00F04EE8" w:rsidRDefault="00D26B42" w:rsidP="00450EA6">
    <w:pPr>
      <w:spacing w:after="0"/>
      <w:rPr>
        <w:rFonts w:ascii="Times New Roman" w:hAnsi="Times New Roman" w:cs="Times New Roman"/>
        <w:color w:val="595959" w:themeColor="text1" w:themeTint="A6"/>
        <w:sz w:val="18"/>
        <w:szCs w:val="18"/>
      </w:rPr>
    </w:pPr>
    <w:r w:rsidRPr="00F04EE8">
      <w:rPr>
        <w:rFonts w:ascii="Times New Roman" w:hAnsi="Times New Roman" w:cs="Times New Roman"/>
        <w:color w:val="595959" w:themeColor="text1" w:themeTint="A6"/>
        <w:sz w:val="18"/>
        <w:szCs w:val="18"/>
      </w:rPr>
      <w:t>OIB: 46676649670</w:t>
    </w:r>
  </w:p>
  <w:p w:rsidR="00D26B42" w:rsidRPr="000F441A" w:rsidRDefault="00D26B42">
    <w:pPr>
      <w:pStyle w:val="Zaglavlje"/>
      <w:rPr>
        <w:rFonts w:ascii="Times New Roman" w:hAnsi="Times New Roman" w:cs="Times New Roman"/>
        <w:b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15pt;height:9.15pt" o:bullet="t">
        <v:imagedata r:id="rId1" o:title="BD14794_"/>
      </v:shape>
    </w:pict>
  </w:numPicBullet>
  <w:numPicBullet w:numPicBulletId="1">
    <w:pict>
      <v:shape id="_x0000_i1042" type="#_x0000_t75" style="width:11.3pt;height:8.05pt" o:bullet="t">
        <v:imagedata r:id="rId2" o:title="BD21299_"/>
      </v:shape>
    </w:pict>
  </w:numPicBullet>
  <w:numPicBullet w:numPicBulletId="2">
    <w:pict>
      <v:shape id="_x0000_i1043" type="#_x0000_t75" style="width:9.15pt;height:9.15pt" o:bullet="t">
        <v:imagedata r:id="rId3" o:title="BD14831_"/>
      </v:shape>
    </w:pict>
  </w:numPicBullet>
  <w:abstractNum w:abstractNumId="0">
    <w:nsid w:val="000852FF"/>
    <w:multiLevelType w:val="hybridMultilevel"/>
    <w:tmpl w:val="40AC85F0"/>
    <w:lvl w:ilvl="0" w:tplc="17905A58">
      <w:start w:val="457"/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F073473"/>
    <w:multiLevelType w:val="hybridMultilevel"/>
    <w:tmpl w:val="C9622D84"/>
    <w:lvl w:ilvl="0" w:tplc="CFF69488">
      <w:start w:val="457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3B250F3"/>
    <w:multiLevelType w:val="hybridMultilevel"/>
    <w:tmpl w:val="64DCE62C"/>
    <w:lvl w:ilvl="0" w:tplc="DC369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FE0"/>
    <w:multiLevelType w:val="hybridMultilevel"/>
    <w:tmpl w:val="1DD84D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DB3"/>
    <w:multiLevelType w:val="hybridMultilevel"/>
    <w:tmpl w:val="6BD2D322"/>
    <w:lvl w:ilvl="0" w:tplc="4768F4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04CB"/>
    <w:multiLevelType w:val="hybridMultilevel"/>
    <w:tmpl w:val="2CEA996E"/>
    <w:lvl w:ilvl="0" w:tplc="A9C806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402C"/>
    <w:multiLevelType w:val="hybridMultilevel"/>
    <w:tmpl w:val="BD284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1953"/>
    <w:multiLevelType w:val="hybridMultilevel"/>
    <w:tmpl w:val="F50C9950"/>
    <w:lvl w:ilvl="0" w:tplc="569E759A">
      <w:start w:val="457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25C11BB"/>
    <w:multiLevelType w:val="hybridMultilevel"/>
    <w:tmpl w:val="EDE64D9C"/>
    <w:lvl w:ilvl="0" w:tplc="8AC6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4DE8"/>
    <w:multiLevelType w:val="hybridMultilevel"/>
    <w:tmpl w:val="2BF26AEA"/>
    <w:lvl w:ilvl="0" w:tplc="8AC6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C7231"/>
    <w:multiLevelType w:val="hybridMultilevel"/>
    <w:tmpl w:val="42FE72E4"/>
    <w:lvl w:ilvl="0" w:tplc="9CB69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91C9D"/>
    <w:multiLevelType w:val="hybridMultilevel"/>
    <w:tmpl w:val="BE5C5D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38A9"/>
    <w:multiLevelType w:val="hybridMultilevel"/>
    <w:tmpl w:val="B4E401F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D4776"/>
    <w:multiLevelType w:val="hybridMultilevel"/>
    <w:tmpl w:val="AEB4B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876A8"/>
    <w:multiLevelType w:val="hybridMultilevel"/>
    <w:tmpl w:val="B5D4F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04E84"/>
    <w:multiLevelType w:val="hybridMultilevel"/>
    <w:tmpl w:val="A69AF4DA"/>
    <w:lvl w:ilvl="0" w:tplc="7EBA48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53255"/>
    <w:multiLevelType w:val="hybridMultilevel"/>
    <w:tmpl w:val="072C8E9A"/>
    <w:lvl w:ilvl="0" w:tplc="5BC869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30239"/>
    <w:multiLevelType w:val="hybridMultilevel"/>
    <w:tmpl w:val="984AD3AC"/>
    <w:lvl w:ilvl="0" w:tplc="9CB69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E"/>
    <w:rsid w:val="00026B3B"/>
    <w:rsid w:val="0006590A"/>
    <w:rsid w:val="000906C5"/>
    <w:rsid w:val="000A28B7"/>
    <w:rsid w:val="000C07DC"/>
    <w:rsid w:val="000D7F5A"/>
    <w:rsid w:val="000F19F5"/>
    <w:rsid w:val="0010348A"/>
    <w:rsid w:val="001F6D6A"/>
    <w:rsid w:val="002316F0"/>
    <w:rsid w:val="00252F39"/>
    <w:rsid w:val="00286352"/>
    <w:rsid w:val="0028644E"/>
    <w:rsid w:val="002B7724"/>
    <w:rsid w:val="00381969"/>
    <w:rsid w:val="003B7038"/>
    <w:rsid w:val="003C0603"/>
    <w:rsid w:val="00425EC0"/>
    <w:rsid w:val="00450EA6"/>
    <w:rsid w:val="00486E0E"/>
    <w:rsid w:val="00496AA2"/>
    <w:rsid w:val="004E5026"/>
    <w:rsid w:val="005B120C"/>
    <w:rsid w:val="005E5FC3"/>
    <w:rsid w:val="00604CF7"/>
    <w:rsid w:val="006B21BF"/>
    <w:rsid w:val="00733656"/>
    <w:rsid w:val="007744B9"/>
    <w:rsid w:val="00804EC5"/>
    <w:rsid w:val="00847AA6"/>
    <w:rsid w:val="00871A0B"/>
    <w:rsid w:val="00887130"/>
    <w:rsid w:val="00901BCC"/>
    <w:rsid w:val="00950232"/>
    <w:rsid w:val="009E30DF"/>
    <w:rsid w:val="00A07CDE"/>
    <w:rsid w:val="00A73459"/>
    <w:rsid w:val="00AA64D2"/>
    <w:rsid w:val="00AB0EF3"/>
    <w:rsid w:val="00B3453C"/>
    <w:rsid w:val="00B733C1"/>
    <w:rsid w:val="00B86E9E"/>
    <w:rsid w:val="00B87FAD"/>
    <w:rsid w:val="00C1074F"/>
    <w:rsid w:val="00C5221A"/>
    <w:rsid w:val="00CB2A95"/>
    <w:rsid w:val="00CF5F61"/>
    <w:rsid w:val="00D26B42"/>
    <w:rsid w:val="00D31AF5"/>
    <w:rsid w:val="00E218AA"/>
    <w:rsid w:val="00EA0FE7"/>
    <w:rsid w:val="00EB3C0B"/>
    <w:rsid w:val="00F06472"/>
    <w:rsid w:val="00F17E32"/>
    <w:rsid w:val="00F23B34"/>
    <w:rsid w:val="00F26C71"/>
    <w:rsid w:val="00F56D14"/>
    <w:rsid w:val="00FA7464"/>
    <w:rsid w:val="00FB2325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9E"/>
  </w:style>
  <w:style w:type="paragraph" w:styleId="Naslov1">
    <w:name w:val="heading 1"/>
    <w:basedOn w:val="Normal"/>
    <w:next w:val="Normal"/>
    <w:link w:val="Naslov1Char"/>
    <w:uiPriority w:val="9"/>
    <w:qFormat/>
    <w:rsid w:val="00B8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86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86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86E9E"/>
    <w:pPr>
      <w:ind w:left="720"/>
      <w:contextualSpacing/>
    </w:pPr>
  </w:style>
  <w:style w:type="table" w:styleId="Reetkatablice">
    <w:name w:val="Table Grid"/>
    <w:basedOn w:val="Obinatablica"/>
    <w:uiPriority w:val="59"/>
    <w:rsid w:val="00B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B86E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proreda">
    <w:name w:val="No Spacing"/>
    <w:uiPriority w:val="1"/>
    <w:qFormat/>
    <w:rsid w:val="00B86E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B8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86E9E"/>
  </w:style>
  <w:style w:type="paragraph" w:styleId="Podnoje">
    <w:name w:val="footer"/>
    <w:basedOn w:val="Normal"/>
    <w:link w:val="PodnojeChar"/>
    <w:uiPriority w:val="99"/>
    <w:unhideWhenUsed/>
    <w:rsid w:val="00B8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6E9E"/>
  </w:style>
  <w:style w:type="paragraph" w:styleId="TOCNaslov">
    <w:name w:val="TOC Heading"/>
    <w:basedOn w:val="Naslov1"/>
    <w:next w:val="Normal"/>
    <w:uiPriority w:val="39"/>
    <w:unhideWhenUsed/>
    <w:qFormat/>
    <w:rsid w:val="00B86E9E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B86E9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86E9E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B86E9E"/>
    <w:rPr>
      <w:color w:val="0000FF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B86E9E"/>
    <w:pPr>
      <w:spacing w:after="100"/>
      <w:ind w:left="440"/>
    </w:pPr>
    <w:rPr>
      <w:rFonts w:eastAsiaTheme="minorEastAsia"/>
    </w:rPr>
  </w:style>
  <w:style w:type="paragraph" w:styleId="Tablicaslika">
    <w:name w:val="table of figures"/>
    <w:basedOn w:val="Normal"/>
    <w:next w:val="Normal"/>
    <w:uiPriority w:val="99"/>
    <w:unhideWhenUsed/>
    <w:rsid w:val="00B86E9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9E"/>
  </w:style>
  <w:style w:type="paragraph" w:styleId="Naslov1">
    <w:name w:val="heading 1"/>
    <w:basedOn w:val="Normal"/>
    <w:next w:val="Normal"/>
    <w:link w:val="Naslov1Char"/>
    <w:uiPriority w:val="9"/>
    <w:qFormat/>
    <w:rsid w:val="00B8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86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86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86E9E"/>
    <w:pPr>
      <w:ind w:left="720"/>
      <w:contextualSpacing/>
    </w:pPr>
  </w:style>
  <w:style w:type="table" w:styleId="Reetkatablice">
    <w:name w:val="Table Grid"/>
    <w:basedOn w:val="Obinatablica"/>
    <w:uiPriority w:val="59"/>
    <w:rsid w:val="00B8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B86E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proreda">
    <w:name w:val="No Spacing"/>
    <w:uiPriority w:val="1"/>
    <w:qFormat/>
    <w:rsid w:val="00B86E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B8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86E9E"/>
  </w:style>
  <w:style w:type="paragraph" w:styleId="Podnoje">
    <w:name w:val="footer"/>
    <w:basedOn w:val="Normal"/>
    <w:link w:val="PodnojeChar"/>
    <w:uiPriority w:val="99"/>
    <w:unhideWhenUsed/>
    <w:rsid w:val="00B8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6E9E"/>
  </w:style>
  <w:style w:type="paragraph" w:styleId="TOCNaslov">
    <w:name w:val="TOC Heading"/>
    <w:basedOn w:val="Naslov1"/>
    <w:next w:val="Normal"/>
    <w:uiPriority w:val="39"/>
    <w:unhideWhenUsed/>
    <w:qFormat/>
    <w:rsid w:val="00B86E9E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B86E9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86E9E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B86E9E"/>
    <w:rPr>
      <w:color w:val="0000FF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B86E9E"/>
    <w:pPr>
      <w:spacing w:after="100"/>
      <w:ind w:left="440"/>
    </w:pPr>
    <w:rPr>
      <w:rFonts w:eastAsiaTheme="minorEastAsia"/>
    </w:rPr>
  </w:style>
  <w:style w:type="paragraph" w:styleId="Tablicaslika">
    <w:name w:val="table of figures"/>
    <w:basedOn w:val="Normal"/>
    <w:next w:val="Normal"/>
    <w:uiPriority w:val="99"/>
    <w:unhideWhenUsed/>
    <w:rsid w:val="00B86E9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kovica-doo.h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18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Božičević</dc:creator>
  <cp:lastModifiedBy>Zdenka Božičević</cp:lastModifiedBy>
  <cp:revision>38</cp:revision>
  <dcterms:created xsi:type="dcterms:W3CDTF">2023-11-15T11:30:00Z</dcterms:created>
  <dcterms:modified xsi:type="dcterms:W3CDTF">2023-11-16T12:16:00Z</dcterms:modified>
</cp:coreProperties>
</file>